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575"/>
        <w:tblW w:w="95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361"/>
        <w:gridCol w:w="5164"/>
      </w:tblGrid>
      <w:tr w:rsidR="000B4176" w:rsidRPr="00890289" w:rsidTr="00E36DFA">
        <w:tc>
          <w:tcPr>
            <w:tcW w:w="9525" w:type="dxa"/>
            <w:gridSpan w:val="2"/>
          </w:tcPr>
          <w:p w:rsidR="000B4176" w:rsidRPr="00890289" w:rsidRDefault="000B4176" w:rsidP="000B4176">
            <w:pPr>
              <w:tabs>
                <w:tab w:val="left" w:pos="6135"/>
              </w:tabs>
              <w:jc w:val="center"/>
              <w:rPr>
                <w:b/>
                <w:bCs/>
                <w:sz w:val="28"/>
                <w:szCs w:val="28"/>
              </w:rPr>
            </w:pPr>
            <w:bookmarkStart w:id="0" w:name="_Toc520213119"/>
            <w:bookmarkStart w:id="1" w:name="_GoBack"/>
            <w:bookmarkEnd w:id="1"/>
            <w:r w:rsidRPr="00890289">
              <w:rPr>
                <w:b/>
                <w:bCs/>
                <w:color w:val="808080"/>
              </w:rPr>
              <w:t xml:space="preserve">Клинические </w:t>
            </w:r>
            <w:r w:rsidRPr="00890289">
              <w:rPr>
                <w:b/>
                <w:bCs/>
                <w:noProof/>
                <w:color w:val="767171"/>
                <w:lang w:eastAsia="ru-RU"/>
              </w:rPr>
              <w:t>рекомендации</w:t>
            </w:r>
          </w:p>
        </w:tc>
      </w:tr>
      <w:tr w:rsidR="000B4176" w:rsidRPr="00890289" w:rsidTr="00E36DFA">
        <w:trPr>
          <w:trHeight w:val="1168"/>
        </w:trPr>
        <w:tc>
          <w:tcPr>
            <w:tcW w:w="9525" w:type="dxa"/>
            <w:gridSpan w:val="2"/>
          </w:tcPr>
          <w:p w:rsidR="000B4176" w:rsidRPr="00890289" w:rsidRDefault="000B4176" w:rsidP="000B4176">
            <w:pPr>
              <w:tabs>
                <w:tab w:val="left" w:pos="6135"/>
              </w:tabs>
              <w:jc w:val="center"/>
              <w:rPr>
                <w:sz w:val="28"/>
                <w:szCs w:val="28"/>
              </w:rPr>
            </w:pPr>
            <w:r w:rsidRPr="00890289">
              <w:rPr>
                <w:b/>
                <w:color w:val="000000"/>
                <w:sz w:val="44"/>
                <w:szCs w:val="44"/>
              </w:rPr>
              <w:t>Множественная миелома</w:t>
            </w:r>
          </w:p>
        </w:tc>
      </w:tr>
      <w:tr w:rsidR="000B4176" w:rsidRPr="00890289" w:rsidTr="00E36DFA">
        <w:trPr>
          <w:trHeight w:val="815"/>
        </w:trPr>
        <w:tc>
          <w:tcPr>
            <w:tcW w:w="4361" w:type="dxa"/>
          </w:tcPr>
          <w:p w:rsidR="000B4176" w:rsidRPr="00890289" w:rsidRDefault="000B4176" w:rsidP="00FE0634">
            <w:pPr>
              <w:tabs>
                <w:tab w:val="left" w:pos="6135"/>
              </w:tabs>
              <w:spacing w:line="276" w:lineRule="auto"/>
              <w:jc w:val="right"/>
              <w:rPr>
                <w:szCs w:val="28"/>
              </w:rPr>
            </w:pPr>
            <w:r w:rsidRPr="00890289">
              <w:rPr>
                <w:color w:val="808080"/>
                <w:szCs w:val="28"/>
              </w:rPr>
              <w:t>Кодирование по Международной статистической классификации болезней и проблем, связанных со</w:t>
            </w:r>
            <w:r w:rsidR="009773F3" w:rsidRPr="00890289">
              <w:rPr>
                <w:color w:val="808080"/>
                <w:szCs w:val="28"/>
              </w:rPr>
              <w:t xml:space="preserve"> </w:t>
            </w:r>
            <w:r w:rsidRPr="00890289">
              <w:rPr>
                <w:color w:val="808080"/>
                <w:szCs w:val="28"/>
              </w:rPr>
              <w:t>здоровьем:</w:t>
            </w:r>
          </w:p>
        </w:tc>
        <w:tc>
          <w:tcPr>
            <w:tcW w:w="5164" w:type="dxa"/>
          </w:tcPr>
          <w:p w:rsidR="000B4176" w:rsidRPr="00890289" w:rsidRDefault="000B4176" w:rsidP="000B4176">
            <w:pPr>
              <w:tabs>
                <w:tab w:val="left" w:pos="6135"/>
              </w:tabs>
              <w:spacing w:line="276" w:lineRule="auto"/>
              <w:jc w:val="left"/>
              <w:rPr>
                <w:szCs w:val="28"/>
              </w:rPr>
            </w:pPr>
            <w:r w:rsidRPr="00890289">
              <w:rPr>
                <w:szCs w:val="28"/>
              </w:rPr>
              <w:t>C90.0</w:t>
            </w:r>
          </w:p>
        </w:tc>
      </w:tr>
      <w:tr w:rsidR="000B4176" w:rsidRPr="00890289" w:rsidTr="00E36DFA">
        <w:trPr>
          <w:trHeight w:val="596"/>
        </w:trPr>
        <w:tc>
          <w:tcPr>
            <w:tcW w:w="4361" w:type="dxa"/>
          </w:tcPr>
          <w:p w:rsidR="000B4176" w:rsidRPr="00890289" w:rsidRDefault="000B4176" w:rsidP="00FE0634">
            <w:pPr>
              <w:tabs>
                <w:tab w:val="left" w:pos="6135"/>
              </w:tabs>
              <w:spacing w:line="276" w:lineRule="auto"/>
              <w:jc w:val="right"/>
              <w:rPr>
                <w:color w:val="808080"/>
                <w:szCs w:val="28"/>
              </w:rPr>
            </w:pPr>
            <w:r w:rsidRPr="00890289">
              <w:rPr>
                <w:rStyle w:val="pop-slug-vol"/>
                <w:color w:val="767171"/>
                <w:szCs w:val="28"/>
              </w:rPr>
              <w:t>Возрастная группа:</w:t>
            </w:r>
          </w:p>
        </w:tc>
        <w:tc>
          <w:tcPr>
            <w:tcW w:w="5164" w:type="dxa"/>
          </w:tcPr>
          <w:p w:rsidR="000B4176" w:rsidRPr="00890289" w:rsidRDefault="000B4176" w:rsidP="000B4176">
            <w:pPr>
              <w:tabs>
                <w:tab w:val="left" w:pos="6135"/>
              </w:tabs>
              <w:spacing w:line="276" w:lineRule="auto"/>
              <w:jc w:val="left"/>
              <w:rPr>
                <w:szCs w:val="28"/>
              </w:rPr>
            </w:pPr>
            <w:r w:rsidRPr="00890289">
              <w:rPr>
                <w:szCs w:val="28"/>
              </w:rPr>
              <w:t>взрослые</w:t>
            </w:r>
          </w:p>
        </w:tc>
      </w:tr>
      <w:tr w:rsidR="000B4176" w:rsidRPr="00890289" w:rsidTr="00E36DFA">
        <w:trPr>
          <w:trHeight w:val="622"/>
        </w:trPr>
        <w:tc>
          <w:tcPr>
            <w:tcW w:w="4361" w:type="dxa"/>
          </w:tcPr>
          <w:p w:rsidR="000B4176" w:rsidRPr="00890289" w:rsidRDefault="000B4176" w:rsidP="000B4176">
            <w:pPr>
              <w:tabs>
                <w:tab w:val="left" w:pos="6135"/>
              </w:tabs>
              <w:spacing w:line="276" w:lineRule="auto"/>
              <w:jc w:val="right"/>
              <w:rPr>
                <w:color w:val="808080"/>
                <w:szCs w:val="28"/>
              </w:rPr>
            </w:pPr>
            <w:r w:rsidRPr="00890289">
              <w:rPr>
                <w:color w:val="808080"/>
              </w:rPr>
              <w:t>Год утверждения:</w:t>
            </w:r>
          </w:p>
        </w:tc>
        <w:tc>
          <w:tcPr>
            <w:tcW w:w="5164" w:type="dxa"/>
          </w:tcPr>
          <w:p w:rsidR="000B4176" w:rsidRPr="00890289" w:rsidRDefault="000B4176" w:rsidP="000B4176">
            <w:pPr>
              <w:tabs>
                <w:tab w:val="left" w:pos="6135"/>
              </w:tabs>
              <w:spacing w:line="276" w:lineRule="auto"/>
              <w:jc w:val="left"/>
            </w:pPr>
          </w:p>
        </w:tc>
      </w:tr>
      <w:tr w:rsidR="000B4176" w:rsidRPr="00890289" w:rsidTr="00E36DFA">
        <w:trPr>
          <w:trHeight w:val="223"/>
        </w:trPr>
        <w:tc>
          <w:tcPr>
            <w:tcW w:w="9525" w:type="dxa"/>
            <w:gridSpan w:val="2"/>
          </w:tcPr>
          <w:p w:rsidR="000B4176" w:rsidRPr="00890289" w:rsidRDefault="000B4176" w:rsidP="000B4176">
            <w:pPr>
              <w:tabs>
                <w:tab w:val="left" w:pos="6135"/>
              </w:tabs>
              <w:rPr>
                <w:color w:val="FF0000"/>
                <w:sz w:val="20"/>
                <w:szCs w:val="20"/>
              </w:rPr>
            </w:pPr>
            <w:r w:rsidRPr="00890289">
              <w:rPr>
                <w:color w:val="808080"/>
              </w:rPr>
              <w:t>Разработчик клинической рекомендации:</w:t>
            </w:r>
            <w:r w:rsidRPr="00890289">
              <w:rPr>
                <w:color w:val="FF0000"/>
                <w:sz w:val="20"/>
                <w:szCs w:val="20"/>
              </w:rPr>
              <w:t xml:space="preserve"> </w:t>
            </w:r>
          </w:p>
        </w:tc>
      </w:tr>
      <w:tr w:rsidR="000B4176" w:rsidRPr="00890289" w:rsidTr="00E36DFA">
        <w:trPr>
          <w:trHeight w:val="4170"/>
        </w:trPr>
        <w:tc>
          <w:tcPr>
            <w:tcW w:w="9525" w:type="dxa"/>
            <w:gridSpan w:val="2"/>
          </w:tcPr>
          <w:p w:rsidR="00E10156" w:rsidRPr="00890289" w:rsidRDefault="00E10156" w:rsidP="00E10156">
            <w:pPr>
              <w:pStyle w:val="ac"/>
              <w:numPr>
                <w:ilvl w:val="0"/>
                <w:numId w:val="6"/>
              </w:numPr>
              <w:rPr>
                <w:b/>
                <w:sz w:val="28"/>
              </w:rPr>
            </w:pPr>
            <w:r w:rsidRPr="00890289">
              <w:t>Ассоциация онкологов России</w:t>
            </w:r>
          </w:p>
          <w:p w:rsidR="000B4176" w:rsidRPr="00890289" w:rsidRDefault="000B4176" w:rsidP="000B4176">
            <w:pPr>
              <w:pStyle w:val="ac"/>
              <w:numPr>
                <w:ilvl w:val="0"/>
                <w:numId w:val="6"/>
              </w:numPr>
            </w:pPr>
            <w:r w:rsidRPr="00890289">
              <w:t>Национальное гематологическое общество</w:t>
            </w:r>
          </w:p>
          <w:p w:rsidR="000B4176" w:rsidRPr="00890289" w:rsidRDefault="000B4176" w:rsidP="000B4176">
            <w:pPr>
              <w:pStyle w:val="ac"/>
              <w:numPr>
                <w:ilvl w:val="0"/>
                <w:numId w:val="6"/>
              </w:numPr>
            </w:pPr>
            <w:r w:rsidRPr="00890289">
              <w:t>Российское профессиональное общество онкогематологов</w:t>
            </w:r>
          </w:p>
          <w:p w:rsidR="000B4176" w:rsidRPr="00890289" w:rsidRDefault="000B4176" w:rsidP="00E10156">
            <w:pPr>
              <w:pStyle w:val="ac"/>
              <w:ind w:left="1068"/>
              <w:rPr>
                <w:b/>
                <w:sz w:val="28"/>
              </w:rPr>
            </w:pPr>
          </w:p>
        </w:tc>
      </w:tr>
    </w:tbl>
    <w:p w:rsidR="00036C84" w:rsidRDefault="00430246" w:rsidP="00036C84">
      <w:r>
        <w:rPr>
          <w:noProof/>
          <w:lang w:eastAsia="ru-RU"/>
        </w:rPr>
        <mc:AlternateContent>
          <mc:Choice Requires="wps">
            <w:drawing>
              <wp:anchor distT="0" distB="0" distL="114300" distR="114300" simplePos="0" relativeHeight="251653632" behindDoc="1" locked="0" layoutInCell="1" allowOverlap="1" wp14:anchorId="43FA681D" wp14:editId="78790995">
                <wp:simplePos x="0" y="0"/>
                <wp:positionH relativeFrom="page">
                  <wp:posOffset>361950</wp:posOffset>
                </wp:positionH>
                <wp:positionV relativeFrom="paragraph">
                  <wp:posOffset>-407035</wp:posOffset>
                </wp:positionV>
                <wp:extent cx="6889115" cy="9782175"/>
                <wp:effectExtent l="0" t="0" r="6985" b="9525"/>
                <wp:wrapNone/>
                <wp:docPr id="81"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9115" cy="9782175"/>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B8ACC7" id="Прямоугольник 5" o:spid="_x0000_s1026" style="position:absolute;margin-left:28.5pt;margin-top:-32.05pt;width:542.45pt;height:770.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" stroked="f" strokeweight="1pt">
                <v:path arrowok="t"/>
                <w10:wrap anchorx="page"/>
              </v:rect>
            </w:pict>
          </mc:Fallback>
        </mc:AlternateContent>
      </w:r>
      <w:r>
        <w:rPr>
          <w:noProof/>
          <w:lang w:eastAsia="ru-RU"/>
        </w:rPr>
        <mc:AlternateContent>
          <mc:Choice Requires="wps">
            <w:drawing>
              <wp:anchor distT="0" distB="0" distL="114300" distR="114300" simplePos="0" relativeHeight="251652608" behindDoc="1" locked="0" layoutInCell="1" allowOverlap="1" wp14:anchorId="56718C4B" wp14:editId="5D1FFA20">
                <wp:simplePos x="0" y="0"/>
                <wp:positionH relativeFrom="page">
                  <wp:align>left</wp:align>
                </wp:positionH>
                <wp:positionV relativeFrom="paragraph">
                  <wp:posOffset>-855345</wp:posOffset>
                </wp:positionV>
                <wp:extent cx="7600950" cy="10953750"/>
                <wp:effectExtent l="0" t="0" r="0" b="0"/>
                <wp:wrapNone/>
                <wp:docPr id="80"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0" cy="10953750"/>
                        </a:xfrm>
                        <a:prstGeom prst="rect">
                          <a:avLst/>
                        </a:prstGeom>
                        <a:solidFill>
                          <a:srgbClr val="0B595D">
                            <a:alpha val="9804"/>
                          </a:srgbClr>
                        </a:solidFill>
                        <a:ln w="12700" cap="flat" cmpd="sng" algn="ctr">
                          <a:noFill/>
                          <a:prstDash val="solid"/>
                          <a:miter lim="800000"/>
                        </a:ln>
                        <a:effectLst/>
                      </wps:spPr>
                      <wps:txbx>
                        <w:txbxContent>
                          <w:p w:rsidR="00D62DF3" w:rsidRDefault="00D62DF3" w:rsidP="00036C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718C4B" id="Прямоугольник 3" o:spid="_x0000_s1026" style="position:absolute;left:0;text-align:left;margin-left:0;margin-top:-67.35pt;width:598.5pt;height:862.5pt;z-index:-2516638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" fillcolor="#0b595d" stroked="f" strokeweight="1pt">
                <v:fill opacity="6425f"/>
                <v:path arrowok="t"/>
                <v:textbox>
                  <w:txbxContent>
                    <w:p w:rsidR="00D62DF3" w:rsidRDefault="00D62DF3" w:rsidP="00036C84">
                      <w:pPr>
                        <w:jc w:val="center"/>
                      </w:pPr>
                    </w:p>
                  </w:txbxContent>
                </v:textbox>
                <w10:wrap anchorx="page"/>
              </v:rect>
            </w:pict>
          </mc:Fallback>
        </mc:AlternateContent>
      </w:r>
      <w:r w:rsidR="008B30C2">
        <w:t xml:space="preserve">     </w:t>
      </w:r>
    </w:p>
    <w:bookmarkEnd w:id="0"/>
    <w:p w:rsidR="0086466D" w:rsidRDefault="0086466D" w:rsidP="0086466D">
      <w:pPr>
        <w:jc w:val="center"/>
        <w:rPr>
          <w:b/>
        </w:rPr>
      </w:pPr>
    </w:p>
    <w:p w:rsidR="0086466D" w:rsidRDefault="0086466D" w:rsidP="0086466D">
      <w:pPr>
        <w:jc w:val="center"/>
        <w:rPr>
          <w:b/>
        </w:rPr>
      </w:pPr>
    </w:p>
    <w:p w:rsidR="0086466D" w:rsidRDefault="0086466D" w:rsidP="0086466D">
      <w:pPr>
        <w:jc w:val="center"/>
        <w:rPr>
          <w:b/>
        </w:rPr>
      </w:pPr>
    </w:p>
    <w:p w:rsidR="0086466D" w:rsidRDefault="0086466D" w:rsidP="0086466D">
      <w:pPr>
        <w:jc w:val="center"/>
        <w:rPr>
          <w:b/>
        </w:rPr>
      </w:pPr>
    </w:p>
    <w:p w:rsidR="0086466D" w:rsidRDefault="0086466D" w:rsidP="0086466D">
      <w:pPr>
        <w:jc w:val="center"/>
        <w:rPr>
          <w:b/>
        </w:rPr>
      </w:pPr>
    </w:p>
    <w:p w:rsidR="0086466D" w:rsidRDefault="0086466D" w:rsidP="0086466D">
      <w:pPr>
        <w:jc w:val="center"/>
        <w:rPr>
          <w:b/>
        </w:rPr>
      </w:pPr>
    </w:p>
    <w:p w:rsidR="0086466D" w:rsidRDefault="0086466D" w:rsidP="0086466D">
      <w:pPr>
        <w:jc w:val="center"/>
        <w:rPr>
          <w:b/>
        </w:rPr>
      </w:pPr>
    </w:p>
    <w:p w:rsidR="00FE0634" w:rsidRDefault="00FE0634" w:rsidP="0086466D">
      <w:pPr>
        <w:jc w:val="center"/>
        <w:rPr>
          <w:b/>
        </w:rPr>
      </w:pPr>
    </w:p>
    <w:p w:rsidR="006A50CD" w:rsidRDefault="006A50CD">
      <w:pPr>
        <w:spacing w:before="0" w:after="0" w:line="240" w:lineRule="auto"/>
        <w:jc w:val="left"/>
        <w:rPr>
          <w:b/>
        </w:rPr>
      </w:pPr>
      <w:r>
        <w:rPr>
          <w:b/>
        </w:rPr>
        <w:lastRenderedPageBreak/>
        <w:br w:type="page"/>
      </w:r>
    </w:p>
    <w:p w:rsidR="008F3621" w:rsidRPr="0086466D" w:rsidRDefault="0086466D" w:rsidP="0086466D">
      <w:pPr>
        <w:jc w:val="center"/>
        <w:rPr>
          <w:b/>
        </w:rPr>
      </w:pPr>
      <w:r w:rsidRPr="0086466D">
        <w:rPr>
          <w:b/>
        </w:rPr>
        <w:lastRenderedPageBreak/>
        <w:t>Оглавление</w:t>
      </w:r>
    </w:p>
    <w:p w:rsidR="008654BE" w:rsidRPr="008654BE" w:rsidRDefault="00A96FB6" w:rsidP="008654BE">
      <w:pPr>
        <w:pStyle w:val="11"/>
        <w:rPr>
          <w:rFonts w:asciiTheme="minorHAnsi" w:eastAsiaTheme="minorEastAsia" w:hAnsiTheme="minorHAnsi" w:cstheme="minorBidi"/>
          <w:szCs w:val="24"/>
          <w:lang w:eastAsia="ru-RU"/>
        </w:rPr>
      </w:pPr>
      <w:r w:rsidRPr="00E36015">
        <w:fldChar w:fldCharType="begin"/>
      </w:r>
      <w:r w:rsidR="00077BDE" w:rsidRPr="00E36015">
        <w:instrText xml:space="preserve"> TOC \o "1-2" \h \z \u </w:instrText>
      </w:r>
      <w:r w:rsidRPr="00E36015">
        <w:fldChar w:fldCharType="separate"/>
      </w:r>
      <w:hyperlink w:anchor="_Toc24826798" w:history="1">
        <w:r w:rsidR="008654BE" w:rsidRPr="008654BE">
          <w:rPr>
            <w:rStyle w:val="af1"/>
          </w:rPr>
          <w:t>Список сокращений</w:t>
        </w:r>
        <w:r w:rsidR="008654BE" w:rsidRPr="008654BE">
          <w:rPr>
            <w:webHidden/>
          </w:rPr>
          <w:tab/>
        </w:r>
        <w:r w:rsidR="008654BE" w:rsidRPr="008654BE">
          <w:rPr>
            <w:webHidden/>
          </w:rPr>
          <w:fldChar w:fldCharType="begin"/>
        </w:r>
        <w:r w:rsidR="008654BE" w:rsidRPr="008654BE">
          <w:rPr>
            <w:webHidden/>
          </w:rPr>
          <w:instrText xml:space="preserve"> PAGEREF _Toc24826798 \h </w:instrText>
        </w:r>
        <w:r w:rsidR="008654BE" w:rsidRPr="008654BE">
          <w:rPr>
            <w:webHidden/>
          </w:rPr>
        </w:r>
        <w:r w:rsidR="008654BE" w:rsidRPr="008654BE">
          <w:rPr>
            <w:webHidden/>
          </w:rPr>
          <w:fldChar w:fldCharType="separate"/>
        </w:r>
        <w:r w:rsidR="008654BE" w:rsidRPr="008654BE">
          <w:rPr>
            <w:webHidden/>
          </w:rPr>
          <w:t>4</w:t>
        </w:r>
        <w:r w:rsidR="008654BE" w:rsidRPr="008654BE">
          <w:rPr>
            <w:webHidden/>
          </w:rPr>
          <w:fldChar w:fldCharType="end"/>
        </w:r>
      </w:hyperlink>
    </w:p>
    <w:p w:rsidR="008654BE" w:rsidRDefault="002C057F" w:rsidP="008654BE">
      <w:pPr>
        <w:pStyle w:val="11"/>
        <w:rPr>
          <w:rFonts w:asciiTheme="minorHAnsi" w:eastAsiaTheme="minorEastAsia" w:hAnsiTheme="minorHAnsi" w:cstheme="minorBidi"/>
          <w:b/>
          <w:szCs w:val="24"/>
          <w:lang w:eastAsia="ru-RU"/>
        </w:rPr>
      </w:pPr>
      <w:hyperlink w:anchor="_Toc24826799" w:history="1">
        <w:r w:rsidR="008654BE" w:rsidRPr="00061D31">
          <w:rPr>
            <w:rStyle w:val="af1"/>
          </w:rPr>
          <w:t>Термины и определения</w:t>
        </w:r>
        <w:r w:rsidR="008654BE">
          <w:rPr>
            <w:webHidden/>
          </w:rPr>
          <w:tab/>
        </w:r>
        <w:r w:rsidR="008654BE">
          <w:rPr>
            <w:webHidden/>
          </w:rPr>
          <w:fldChar w:fldCharType="begin"/>
        </w:r>
        <w:r w:rsidR="008654BE">
          <w:rPr>
            <w:webHidden/>
          </w:rPr>
          <w:instrText xml:space="preserve"> PAGEREF _Toc24826799 \h </w:instrText>
        </w:r>
        <w:r w:rsidR="008654BE">
          <w:rPr>
            <w:webHidden/>
          </w:rPr>
        </w:r>
        <w:r w:rsidR="008654BE">
          <w:rPr>
            <w:webHidden/>
          </w:rPr>
          <w:fldChar w:fldCharType="separate"/>
        </w:r>
        <w:r w:rsidR="008654BE">
          <w:rPr>
            <w:webHidden/>
          </w:rPr>
          <w:t>7</w:t>
        </w:r>
        <w:r w:rsidR="008654BE">
          <w:rPr>
            <w:webHidden/>
          </w:rPr>
          <w:fldChar w:fldCharType="end"/>
        </w:r>
      </w:hyperlink>
    </w:p>
    <w:p w:rsidR="008654BE" w:rsidRDefault="002C057F" w:rsidP="008654BE">
      <w:pPr>
        <w:pStyle w:val="11"/>
        <w:rPr>
          <w:rFonts w:asciiTheme="minorHAnsi" w:eastAsiaTheme="minorEastAsia" w:hAnsiTheme="minorHAnsi" w:cstheme="minorBidi"/>
          <w:b/>
          <w:szCs w:val="24"/>
          <w:lang w:eastAsia="ru-RU"/>
        </w:rPr>
      </w:pPr>
      <w:hyperlink w:anchor="_Toc24826800" w:history="1">
        <w:r w:rsidR="008654BE" w:rsidRPr="00061D31">
          <w:rPr>
            <w:rStyle w:val="af1"/>
          </w:rPr>
          <w:t>1. Краткая информация по заболеванию или состоянию  (группе заболеваний или состояний)</w:t>
        </w:r>
        <w:r w:rsidR="008654BE">
          <w:rPr>
            <w:webHidden/>
          </w:rPr>
          <w:tab/>
        </w:r>
        <w:r w:rsidR="008654BE">
          <w:rPr>
            <w:webHidden/>
          </w:rPr>
          <w:fldChar w:fldCharType="begin"/>
        </w:r>
        <w:r w:rsidR="008654BE">
          <w:rPr>
            <w:webHidden/>
          </w:rPr>
          <w:instrText xml:space="preserve"> PAGEREF _Toc24826800 \h </w:instrText>
        </w:r>
        <w:r w:rsidR="008654BE">
          <w:rPr>
            <w:webHidden/>
          </w:rPr>
        </w:r>
        <w:r w:rsidR="008654BE">
          <w:rPr>
            <w:webHidden/>
          </w:rPr>
          <w:fldChar w:fldCharType="separate"/>
        </w:r>
        <w:r w:rsidR="008654BE">
          <w:rPr>
            <w:webHidden/>
          </w:rPr>
          <w:t>8</w:t>
        </w:r>
        <w:r w:rsidR="008654BE">
          <w:rPr>
            <w:webHidden/>
          </w:rPr>
          <w:fldChar w:fldCharType="end"/>
        </w:r>
      </w:hyperlink>
    </w:p>
    <w:p w:rsidR="008654BE" w:rsidRDefault="002C057F" w:rsidP="008654BE">
      <w:pPr>
        <w:pStyle w:val="21"/>
        <w:rPr>
          <w:rFonts w:asciiTheme="minorHAnsi" w:eastAsiaTheme="minorEastAsia" w:hAnsiTheme="minorHAnsi" w:cstheme="minorBidi"/>
          <w:szCs w:val="24"/>
          <w:lang w:eastAsia="ru-RU"/>
        </w:rPr>
      </w:pPr>
      <w:hyperlink w:anchor="_Toc24826801" w:history="1">
        <w:r w:rsidR="008654BE" w:rsidRPr="00061D31">
          <w:rPr>
            <w:rStyle w:val="af1"/>
          </w:rPr>
          <w:t>1.1 Определение заболевания или состояния (группы заболеваний или состояний)</w:t>
        </w:r>
        <w:r w:rsidR="008654BE">
          <w:rPr>
            <w:webHidden/>
          </w:rPr>
          <w:tab/>
        </w:r>
        <w:r w:rsidR="008654BE">
          <w:rPr>
            <w:webHidden/>
          </w:rPr>
          <w:fldChar w:fldCharType="begin"/>
        </w:r>
        <w:r w:rsidR="008654BE">
          <w:rPr>
            <w:webHidden/>
          </w:rPr>
          <w:instrText xml:space="preserve"> PAGEREF _Toc24826801 \h </w:instrText>
        </w:r>
        <w:r w:rsidR="008654BE">
          <w:rPr>
            <w:webHidden/>
          </w:rPr>
        </w:r>
        <w:r w:rsidR="008654BE">
          <w:rPr>
            <w:webHidden/>
          </w:rPr>
          <w:fldChar w:fldCharType="separate"/>
        </w:r>
        <w:r w:rsidR="008654BE">
          <w:rPr>
            <w:webHidden/>
          </w:rPr>
          <w:t>8</w:t>
        </w:r>
        <w:r w:rsidR="008654BE">
          <w:rPr>
            <w:webHidden/>
          </w:rPr>
          <w:fldChar w:fldCharType="end"/>
        </w:r>
      </w:hyperlink>
    </w:p>
    <w:p w:rsidR="008654BE" w:rsidRDefault="002C057F" w:rsidP="008654BE">
      <w:pPr>
        <w:pStyle w:val="21"/>
        <w:rPr>
          <w:rFonts w:asciiTheme="minorHAnsi" w:eastAsiaTheme="minorEastAsia" w:hAnsiTheme="minorHAnsi" w:cstheme="minorBidi"/>
          <w:szCs w:val="24"/>
          <w:lang w:eastAsia="ru-RU"/>
        </w:rPr>
      </w:pPr>
      <w:hyperlink w:anchor="_Toc24826802" w:history="1">
        <w:r w:rsidR="008654BE" w:rsidRPr="00061D31">
          <w:rPr>
            <w:rStyle w:val="af1"/>
          </w:rPr>
          <w:t>1.2 Этиология и патогенез заболевания или состояния (группы заболеваний или состояний)</w:t>
        </w:r>
        <w:r w:rsidR="008654BE">
          <w:rPr>
            <w:webHidden/>
          </w:rPr>
          <w:tab/>
        </w:r>
        <w:r w:rsidR="008654BE">
          <w:rPr>
            <w:webHidden/>
          </w:rPr>
          <w:fldChar w:fldCharType="begin"/>
        </w:r>
        <w:r w:rsidR="008654BE">
          <w:rPr>
            <w:webHidden/>
          </w:rPr>
          <w:instrText xml:space="preserve"> PAGEREF _Toc24826802 \h </w:instrText>
        </w:r>
        <w:r w:rsidR="008654BE">
          <w:rPr>
            <w:webHidden/>
          </w:rPr>
        </w:r>
        <w:r w:rsidR="008654BE">
          <w:rPr>
            <w:webHidden/>
          </w:rPr>
          <w:fldChar w:fldCharType="separate"/>
        </w:r>
        <w:r w:rsidR="008654BE">
          <w:rPr>
            <w:webHidden/>
          </w:rPr>
          <w:t>8</w:t>
        </w:r>
        <w:r w:rsidR="008654BE">
          <w:rPr>
            <w:webHidden/>
          </w:rPr>
          <w:fldChar w:fldCharType="end"/>
        </w:r>
      </w:hyperlink>
    </w:p>
    <w:p w:rsidR="008654BE" w:rsidRDefault="002C057F" w:rsidP="008654BE">
      <w:pPr>
        <w:pStyle w:val="21"/>
        <w:rPr>
          <w:rFonts w:asciiTheme="minorHAnsi" w:eastAsiaTheme="minorEastAsia" w:hAnsiTheme="minorHAnsi" w:cstheme="minorBidi"/>
          <w:szCs w:val="24"/>
          <w:lang w:eastAsia="ru-RU"/>
        </w:rPr>
      </w:pPr>
      <w:hyperlink w:anchor="_Toc24826803" w:history="1">
        <w:r w:rsidR="008654BE" w:rsidRPr="00061D31">
          <w:rPr>
            <w:rStyle w:val="af1"/>
          </w:rPr>
          <w:t>1.3 Эпидемиология заболевания или состояния (группы заболеваний или состояний)</w:t>
        </w:r>
        <w:r w:rsidR="008654BE">
          <w:rPr>
            <w:webHidden/>
          </w:rPr>
          <w:tab/>
        </w:r>
        <w:r w:rsidR="008654BE">
          <w:rPr>
            <w:webHidden/>
          </w:rPr>
          <w:fldChar w:fldCharType="begin"/>
        </w:r>
        <w:r w:rsidR="008654BE">
          <w:rPr>
            <w:webHidden/>
          </w:rPr>
          <w:instrText xml:space="preserve"> PAGEREF _Toc24826803 \h </w:instrText>
        </w:r>
        <w:r w:rsidR="008654BE">
          <w:rPr>
            <w:webHidden/>
          </w:rPr>
        </w:r>
        <w:r w:rsidR="008654BE">
          <w:rPr>
            <w:webHidden/>
          </w:rPr>
          <w:fldChar w:fldCharType="separate"/>
        </w:r>
        <w:r w:rsidR="008654BE">
          <w:rPr>
            <w:webHidden/>
          </w:rPr>
          <w:t>8</w:t>
        </w:r>
        <w:r w:rsidR="008654BE">
          <w:rPr>
            <w:webHidden/>
          </w:rPr>
          <w:fldChar w:fldCharType="end"/>
        </w:r>
      </w:hyperlink>
    </w:p>
    <w:p w:rsidR="008654BE" w:rsidRDefault="002C057F" w:rsidP="008654BE">
      <w:pPr>
        <w:pStyle w:val="21"/>
        <w:rPr>
          <w:rFonts w:asciiTheme="minorHAnsi" w:eastAsiaTheme="minorEastAsia" w:hAnsiTheme="minorHAnsi" w:cstheme="minorBidi"/>
          <w:szCs w:val="24"/>
          <w:lang w:eastAsia="ru-RU"/>
        </w:rPr>
      </w:pPr>
      <w:hyperlink w:anchor="_Toc24826804" w:history="1">
        <w:r w:rsidR="008654BE" w:rsidRPr="00061D31">
          <w:rPr>
            <w:rStyle w:val="af1"/>
          </w:rPr>
          <w:t xml:space="preserve">1.4 </w:t>
        </w:r>
        <w:r w:rsidR="008654BE" w:rsidRPr="00061D31">
          <w:rPr>
            <w:rStyle w:val="af1"/>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8654BE">
          <w:rPr>
            <w:webHidden/>
          </w:rPr>
          <w:tab/>
        </w:r>
        <w:r w:rsidR="008654BE">
          <w:rPr>
            <w:webHidden/>
          </w:rPr>
          <w:fldChar w:fldCharType="begin"/>
        </w:r>
        <w:r w:rsidR="008654BE">
          <w:rPr>
            <w:webHidden/>
          </w:rPr>
          <w:instrText xml:space="preserve"> PAGEREF _Toc24826804 \h </w:instrText>
        </w:r>
        <w:r w:rsidR="008654BE">
          <w:rPr>
            <w:webHidden/>
          </w:rPr>
        </w:r>
        <w:r w:rsidR="008654BE">
          <w:rPr>
            <w:webHidden/>
          </w:rPr>
          <w:fldChar w:fldCharType="separate"/>
        </w:r>
        <w:r w:rsidR="008654BE">
          <w:rPr>
            <w:webHidden/>
          </w:rPr>
          <w:t>8</w:t>
        </w:r>
        <w:r w:rsidR="008654BE">
          <w:rPr>
            <w:webHidden/>
          </w:rPr>
          <w:fldChar w:fldCharType="end"/>
        </w:r>
      </w:hyperlink>
    </w:p>
    <w:p w:rsidR="008654BE" w:rsidRDefault="002C057F" w:rsidP="008654BE">
      <w:pPr>
        <w:pStyle w:val="21"/>
        <w:rPr>
          <w:rFonts w:asciiTheme="minorHAnsi" w:eastAsiaTheme="minorEastAsia" w:hAnsiTheme="minorHAnsi" w:cstheme="minorBidi"/>
          <w:szCs w:val="24"/>
          <w:lang w:eastAsia="ru-RU"/>
        </w:rPr>
      </w:pPr>
      <w:hyperlink w:anchor="_Toc24826805" w:history="1">
        <w:r w:rsidR="008654BE" w:rsidRPr="00061D31">
          <w:rPr>
            <w:rStyle w:val="af1"/>
          </w:rPr>
          <w:t>1.5 Классификация заболевания или состояния (группы заболеваний или состояний)</w:t>
        </w:r>
        <w:r w:rsidR="008654BE">
          <w:rPr>
            <w:webHidden/>
          </w:rPr>
          <w:tab/>
        </w:r>
        <w:r w:rsidR="008654BE">
          <w:rPr>
            <w:webHidden/>
          </w:rPr>
          <w:fldChar w:fldCharType="begin"/>
        </w:r>
        <w:r w:rsidR="008654BE">
          <w:rPr>
            <w:webHidden/>
          </w:rPr>
          <w:instrText xml:space="preserve"> PAGEREF _Toc24826805 \h </w:instrText>
        </w:r>
        <w:r w:rsidR="008654BE">
          <w:rPr>
            <w:webHidden/>
          </w:rPr>
        </w:r>
        <w:r w:rsidR="008654BE">
          <w:rPr>
            <w:webHidden/>
          </w:rPr>
          <w:fldChar w:fldCharType="separate"/>
        </w:r>
        <w:r w:rsidR="008654BE">
          <w:rPr>
            <w:webHidden/>
          </w:rPr>
          <w:t>9</w:t>
        </w:r>
        <w:r w:rsidR="008654BE">
          <w:rPr>
            <w:webHidden/>
          </w:rPr>
          <w:fldChar w:fldCharType="end"/>
        </w:r>
      </w:hyperlink>
    </w:p>
    <w:p w:rsidR="008654BE" w:rsidRDefault="002C057F" w:rsidP="008654BE">
      <w:pPr>
        <w:pStyle w:val="21"/>
        <w:rPr>
          <w:rFonts w:asciiTheme="minorHAnsi" w:eastAsiaTheme="minorEastAsia" w:hAnsiTheme="minorHAnsi" w:cstheme="minorBidi"/>
          <w:szCs w:val="24"/>
          <w:lang w:eastAsia="ru-RU"/>
        </w:rPr>
      </w:pPr>
      <w:hyperlink w:anchor="_Toc24826806" w:history="1">
        <w:r w:rsidR="008654BE" w:rsidRPr="00061D31">
          <w:rPr>
            <w:rStyle w:val="af1"/>
          </w:rPr>
          <w:t>1.6 Клиническая картина заболевания или состояния (группы заболеваний или состояний)</w:t>
        </w:r>
        <w:r w:rsidR="008654BE">
          <w:rPr>
            <w:webHidden/>
          </w:rPr>
          <w:tab/>
        </w:r>
        <w:r w:rsidR="008654BE">
          <w:rPr>
            <w:webHidden/>
          </w:rPr>
          <w:fldChar w:fldCharType="begin"/>
        </w:r>
        <w:r w:rsidR="008654BE">
          <w:rPr>
            <w:webHidden/>
          </w:rPr>
          <w:instrText xml:space="preserve"> PAGEREF _Toc24826806 \h </w:instrText>
        </w:r>
        <w:r w:rsidR="008654BE">
          <w:rPr>
            <w:webHidden/>
          </w:rPr>
        </w:r>
        <w:r w:rsidR="008654BE">
          <w:rPr>
            <w:webHidden/>
          </w:rPr>
          <w:fldChar w:fldCharType="separate"/>
        </w:r>
        <w:r w:rsidR="008654BE">
          <w:rPr>
            <w:webHidden/>
          </w:rPr>
          <w:t>11</w:t>
        </w:r>
        <w:r w:rsidR="008654BE">
          <w:rPr>
            <w:webHidden/>
          </w:rPr>
          <w:fldChar w:fldCharType="end"/>
        </w:r>
      </w:hyperlink>
    </w:p>
    <w:p w:rsidR="008654BE" w:rsidRDefault="002C057F" w:rsidP="008654BE">
      <w:pPr>
        <w:pStyle w:val="11"/>
        <w:rPr>
          <w:rFonts w:asciiTheme="minorHAnsi" w:eastAsiaTheme="minorEastAsia" w:hAnsiTheme="minorHAnsi" w:cstheme="minorBidi"/>
          <w:b/>
          <w:szCs w:val="24"/>
          <w:lang w:eastAsia="ru-RU"/>
        </w:rPr>
      </w:pPr>
      <w:hyperlink w:anchor="_Toc24826807" w:history="1">
        <w:r w:rsidR="008654BE" w:rsidRPr="00061D31">
          <w:rPr>
            <w:rStyle w:val="af1"/>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8654BE">
          <w:rPr>
            <w:webHidden/>
          </w:rPr>
          <w:tab/>
        </w:r>
        <w:r w:rsidR="008654BE">
          <w:rPr>
            <w:webHidden/>
          </w:rPr>
          <w:fldChar w:fldCharType="begin"/>
        </w:r>
        <w:r w:rsidR="008654BE">
          <w:rPr>
            <w:webHidden/>
          </w:rPr>
          <w:instrText xml:space="preserve"> PAGEREF _Toc24826807 \h </w:instrText>
        </w:r>
        <w:r w:rsidR="008654BE">
          <w:rPr>
            <w:webHidden/>
          </w:rPr>
        </w:r>
        <w:r w:rsidR="008654BE">
          <w:rPr>
            <w:webHidden/>
          </w:rPr>
          <w:fldChar w:fldCharType="separate"/>
        </w:r>
        <w:r w:rsidR="008654BE">
          <w:rPr>
            <w:webHidden/>
          </w:rPr>
          <w:t>12</w:t>
        </w:r>
        <w:r w:rsidR="008654BE">
          <w:rPr>
            <w:webHidden/>
          </w:rPr>
          <w:fldChar w:fldCharType="end"/>
        </w:r>
      </w:hyperlink>
    </w:p>
    <w:p w:rsidR="008654BE" w:rsidRDefault="002C057F" w:rsidP="008654BE">
      <w:pPr>
        <w:pStyle w:val="21"/>
        <w:rPr>
          <w:rFonts w:asciiTheme="minorHAnsi" w:eastAsiaTheme="minorEastAsia" w:hAnsiTheme="minorHAnsi" w:cstheme="minorBidi"/>
          <w:szCs w:val="24"/>
          <w:lang w:eastAsia="ru-RU"/>
        </w:rPr>
      </w:pPr>
      <w:hyperlink w:anchor="_Toc24826808" w:history="1">
        <w:r w:rsidR="008654BE" w:rsidRPr="00061D31">
          <w:rPr>
            <w:rStyle w:val="af1"/>
          </w:rPr>
          <w:t>2.1 Жалобы и анамнез</w:t>
        </w:r>
        <w:r w:rsidR="008654BE">
          <w:rPr>
            <w:webHidden/>
          </w:rPr>
          <w:tab/>
        </w:r>
        <w:r w:rsidR="008654BE">
          <w:rPr>
            <w:webHidden/>
          </w:rPr>
          <w:fldChar w:fldCharType="begin"/>
        </w:r>
        <w:r w:rsidR="008654BE">
          <w:rPr>
            <w:webHidden/>
          </w:rPr>
          <w:instrText xml:space="preserve"> PAGEREF _Toc24826808 \h </w:instrText>
        </w:r>
        <w:r w:rsidR="008654BE">
          <w:rPr>
            <w:webHidden/>
          </w:rPr>
        </w:r>
        <w:r w:rsidR="008654BE">
          <w:rPr>
            <w:webHidden/>
          </w:rPr>
          <w:fldChar w:fldCharType="separate"/>
        </w:r>
        <w:r w:rsidR="008654BE">
          <w:rPr>
            <w:webHidden/>
          </w:rPr>
          <w:t>13</w:t>
        </w:r>
        <w:r w:rsidR="008654BE">
          <w:rPr>
            <w:webHidden/>
          </w:rPr>
          <w:fldChar w:fldCharType="end"/>
        </w:r>
      </w:hyperlink>
    </w:p>
    <w:p w:rsidR="008654BE" w:rsidRDefault="002C057F" w:rsidP="008654BE">
      <w:pPr>
        <w:pStyle w:val="21"/>
        <w:rPr>
          <w:rFonts w:asciiTheme="minorHAnsi" w:eastAsiaTheme="minorEastAsia" w:hAnsiTheme="minorHAnsi" w:cstheme="minorBidi"/>
          <w:szCs w:val="24"/>
          <w:lang w:eastAsia="ru-RU"/>
        </w:rPr>
      </w:pPr>
      <w:hyperlink w:anchor="_Toc24826809" w:history="1">
        <w:r w:rsidR="008654BE" w:rsidRPr="00061D31">
          <w:rPr>
            <w:rStyle w:val="af1"/>
          </w:rPr>
          <w:t>2.2 Физикальное обследование</w:t>
        </w:r>
        <w:r w:rsidR="008654BE">
          <w:rPr>
            <w:webHidden/>
          </w:rPr>
          <w:tab/>
        </w:r>
        <w:r w:rsidR="008654BE">
          <w:rPr>
            <w:webHidden/>
          </w:rPr>
          <w:fldChar w:fldCharType="begin"/>
        </w:r>
        <w:r w:rsidR="008654BE">
          <w:rPr>
            <w:webHidden/>
          </w:rPr>
          <w:instrText xml:space="preserve"> PAGEREF _Toc24826809 \h </w:instrText>
        </w:r>
        <w:r w:rsidR="008654BE">
          <w:rPr>
            <w:webHidden/>
          </w:rPr>
        </w:r>
        <w:r w:rsidR="008654BE">
          <w:rPr>
            <w:webHidden/>
          </w:rPr>
          <w:fldChar w:fldCharType="separate"/>
        </w:r>
        <w:r w:rsidR="008654BE">
          <w:rPr>
            <w:webHidden/>
          </w:rPr>
          <w:t>13</w:t>
        </w:r>
        <w:r w:rsidR="008654BE">
          <w:rPr>
            <w:webHidden/>
          </w:rPr>
          <w:fldChar w:fldCharType="end"/>
        </w:r>
      </w:hyperlink>
    </w:p>
    <w:p w:rsidR="008654BE" w:rsidRDefault="002C057F" w:rsidP="008654BE">
      <w:pPr>
        <w:pStyle w:val="21"/>
        <w:rPr>
          <w:rFonts w:asciiTheme="minorHAnsi" w:eastAsiaTheme="minorEastAsia" w:hAnsiTheme="minorHAnsi" w:cstheme="minorBidi"/>
          <w:szCs w:val="24"/>
          <w:lang w:eastAsia="ru-RU"/>
        </w:rPr>
      </w:pPr>
      <w:hyperlink w:anchor="_Toc24826810" w:history="1">
        <w:r w:rsidR="008654BE" w:rsidRPr="00061D31">
          <w:rPr>
            <w:rStyle w:val="af1"/>
          </w:rPr>
          <w:t>2.3 Лабораторные диагностические исследования</w:t>
        </w:r>
        <w:r w:rsidR="008654BE">
          <w:rPr>
            <w:webHidden/>
          </w:rPr>
          <w:tab/>
        </w:r>
        <w:r w:rsidR="008654BE">
          <w:rPr>
            <w:webHidden/>
          </w:rPr>
          <w:fldChar w:fldCharType="begin"/>
        </w:r>
        <w:r w:rsidR="008654BE">
          <w:rPr>
            <w:webHidden/>
          </w:rPr>
          <w:instrText xml:space="preserve"> PAGEREF _Toc24826810 \h </w:instrText>
        </w:r>
        <w:r w:rsidR="008654BE">
          <w:rPr>
            <w:webHidden/>
          </w:rPr>
        </w:r>
        <w:r w:rsidR="008654BE">
          <w:rPr>
            <w:webHidden/>
          </w:rPr>
          <w:fldChar w:fldCharType="separate"/>
        </w:r>
        <w:r w:rsidR="008654BE">
          <w:rPr>
            <w:webHidden/>
          </w:rPr>
          <w:t>13</w:t>
        </w:r>
        <w:r w:rsidR="008654BE">
          <w:rPr>
            <w:webHidden/>
          </w:rPr>
          <w:fldChar w:fldCharType="end"/>
        </w:r>
      </w:hyperlink>
    </w:p>
    <w:p w:rsidR="008654BE" w:rsidRDefault="002C057F" w:rsidP="008654BE">
      <w:pPr>
        <w:pStyle w:val="21"/>
        <w:rPr>
          <w:rFonts w:asciiTheme="minorHAnsi" w:eastAsiaTheme="minorEastAsia" w:hAnsiTheme="minorHAnsi" w:cstheme="minorBidi"/>
          <w:szCs w:val="24"/>
          <w:lang w:eastAsia="ru-RU"/>
        </w:rPr>
      </w:pPr>
      <w:hyperlink w:anchor="_Toc24826811" w:history="1">
        <w:r w:rsidR="008654BE" w:rsidRPr="00061D31">
          <w:rPr>
            <w:rStyle w:val="af1"/>
          </w:rPr>
          <w:t>2.4 Инструментальные диагностические исследования</w:t>
        </w:r>
        <w:r w:rsidR="008654BE">
          <w:rPr>
            <w:webHidden/>
          </w:rPr>
          <w:tab/>
        </w:r>
        <w:r w:rsidR="008654BE">
          <w:rPr>
            <w:webHidden/>
          </w:rPr>
          <w:fldChar w:fldCharType="begin"/>
        </w:r>
        <w:r w:rsidR="008654BE">
          <w:rPr>
            <w:webHidden/>
          </w:rPr>
          <w:instrText xml:space="preserve"> PAGEREF _Toc24826811 \h </w:instrText>
        </w:r>
        <w:r w:rsidR="008654BE">
          <w:rPr>
            <w:webHidden/>
          </w:rPr>
        </w:r>
        <w:r w:rsidR="008654BE">
          <w:rPr>
            <w:webHidden/>
          </w:rPr>
          <w:fldChar w:fldCharType="separate"/>
        </w:r>
        <w:r w:rsidR="008654BE">
          <w:rPr>
            <w:webHidden/>
          </w:rPr>
          <w:t>18</w:t>
        </w:r>
        <w:r w:rsidR="008654BE">
          <w:rPr>
            <w:webHidden/>
          </w:rPr>
          <w:fldChar w:fldCharType="end"/>
        </w:r>
      </w:hyperlink>
    </w:p>
    <w:p w:rsidR="008654BE" w:rsidRDefault="002C057F" w:rsidP="008654BE">
      <w:pPr>
        <w:pStyle w:val="21"/>
        <w:rPr>
          <w:rFonts w:asciiTheme="minorHAnsi" w:eastAsiaTheme="minorEastAsia" w:hAnsiTheme="minorHAnsi" w:cstheme="minorBidi"/>
          <w:szCs w:val="24"/>
          <w:lang w:eastAsia="ru-RU"/>
        </w:rPr>
      </w:pPr>
      <w:hyperlink w:anchor="_Toc24826812" w:history="1">
        <w:r w:rsidR="008654BE" w:rsidRPr="00061D31">
          <w:rPr>
            <w:rStyle w:val="af1"/>
          </w:rPr>
          <w:t>2.5 Иные диагностические исследования</w:t>
        </w:r>
        <w:r w:rsidR="008654BE">
          <w:rPr>
            <w:webHidden/>
          </w:rPr>
          <w:tab/>
        </w:r>
        <w:r w:rsidR="008654BE">
          <w:rPr>
            <w:webHidden/>
          </w:rPr>
          <w:fldChar w:fldCharType="begin"/>
        </w:r>
        <w:r w:rsidR="008654BE">
          <w:rPr>
            <w:webHidden/>
          </w:rPr>
          <w:instrText xml:space="preserve"> PAGEREF _Toc24826812 \h </w:instrText>
        </w:r>
        <w:r w:rsidR="008654BE">
          <w:rPr>
            <w:webHidden/>
          </w:rPr>
        </w:r>
        <w:r w:rsidR="008654BE">
          <w:rPr>
            <w:webHidden/>
          </w:rPr>
          <w:fldChar w:fldCharType="separate"/>
        </w:r>
        <w:r w:rsidR="008654BE">
          <w:rPr>
            <w:webHidden/>
          </w:rPr>
          <w:t>19</w:t>
        </w:r>
        <w:r w:rsidR="008654BE">
          <w:rPr>
            <w:webHidden/>
          </w:rPr>
          <w:fldChar w:fldCharType="end"/>
        </w:r>
      </w:hyperlink>
    </w:p>
    <w:p w:rsidR="008654BE" w:rsidRDefault="002C057F" w:rsidP="008654BE">
      <w:pPr>
        <w:pStyle w:val="11"/>
        <w:rPr>
          <w:rFonts w:asciiTheme="minorHAnsi" w:eastAsiaTheme="minorEastAsia" w:hAnsiTheme="minorHAnsi" w:cstheme="minorBidi"/>
          <w:b/>
          <w:szCs w:val="24"/>
          <w:lang w:eastAsia="ru-RU"/>
        </w:rPr>
      </w:pPr>
      <w:hyperlink w:anchor="_Toc24826813" w:history="1">
        <w:r w:rsidR="008654BE" w:rsidRPr="00061D31">
          <w:rPr>
            <w:rStyle w:val="af1"/>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8654BE">
          <w:rPr>
            <w:webHidden/>
          </w:rPr>
          <w:tab/>
        </w:r>
        <w:r w:rsidR="008654BE">
          <w:rPr>
            <w:webHidden/>
          </w:rPr>
          <w:fldChar w:fldCharType="begin"/>
        </w:r>
        <w:r w:rsidR="008654BE">
          <w:rPr>
            <w:webHidden/>
          </w:rPr>
          <w:instrText xml:space="preserve"> PAGEREF _Toc24826813 \h </w:instrText>
        </w:r>
        <w:r w:rsidR="008654BE">
          <w:rPr>
            <w:webHidden/>
          </w:rPr>
        </w:r>
        <w:r w:rsidR="008654BE">
          <w:rPr>
            <w:webHidden/>
          </w:rPr>
          <w:fldChar w:fldCharType="separate"/>
        </w:r>
        <w:r w:rsidR="008654BE">
          <w:rPr>
            <w:webHidden/>
          </w:rPr>
          <w:t>20</w:t>
        </w:r>
        <w:r w:rsidR="008654BE">
          <w:rPr>
            <w:webHidden/>
          </w:rPr>
          <w:fldChar w:fldCharType="end"/>
        </w:r>
      </w:hyperlink>
    </w:p>
    <w:p w:rsidR="008654BE" w:rsidRDefault="002C057F" w:rsidP="008654BE">
      <w:pPr>
        <w:pStyle w:val="21"/>
        <w:rPr>
          <w:rFonts w:asciiTheme="minorHAnsi" w:eastAsiaTheme="minorEastAsia" w:hAnsiTheme="minorHAnsi" w:cstheme="minorBidi"/>
          <w:szCs w:val="24"/>
          <w:lang w:eastAsia="ru-RU"/>
        </w:rPr>
      </w:pPr>
      <w:hyperlink w:anchor="_Toc24826814" w:history="1">
        <w:r w:rsidR="008654BE" w:rsidRPr="00061D31">
          <w:rPr>
            <w:rStyle w:val="af1"/>
          </w:rPr>
          <w:t>3.1 Показания к началу терапии и определение стратегии лечения</w:t>
        </w:r>
        <w:r w:rsidR="008654BE">
          <w:rPr>
            <w:webHidden/>
          </w:rPr>
          <w:tab/>
        </w:r>
        <w:r w:rsidR="008654BE">
          <w:rPr>
            <w:webHidden/>
          </w:rPr>
          <w:fldChar w:fldCharType="begin"/>
        </w:r>
        <w:r w:rsidR="008654BE">
          <w:rPr>
            <w:webHidden/>
          </w:rPr>
          <w:instrText xml:space="preserve"> PAGEREF _Toc24826814 \h </w:instrText>
        </w:r>
        <w:r w:rsidR="008654BE">
          <w:rPr>
            <w:webHidden/>
          </w:rPr>
        </w:r>
        <w:r w:rsidR="008654BE">
          <w:rPr>
            <w:webHidden/>
          </w:rPr>
          <w:fldChar w:fldCharType="separate"/>
        </w:r>
        <w:r w:rsidR="008654BE">
          <w:rPr>
            <w:webHidden/>
          </w:rPr>
          <w:t>20</w:t>
        </w:r>
        <w:r w:rsidR="008654BE">
          <w:rPr>
            <w:webHidden/>
          </w:rPr>
          <w:fldChar w:fldCharType="end"/>
        </w:r>
      </w:hyperlink>
    </w:p>
    <w:p w:rsidR="008654BE" w:rsidRDefault="002C057F" w:rsidP="008654BE">
      <w:pPr>
        <w:pStyle w:val="21"/>
        <w:rPr>
          <w:rFonts w:asciiTheme="minorHAnsi" w:eastAsiaTheme="minorEastAsia" w:hAnsiTheme="minorHAnsi" w:cstheme="minorBidi"/>
          <w:szCs w:val="24"/>
          <w:lang w:eastAsia="ru-RU"/>
        </w:rPr>
      </w:pPr>
      <w:hyperlink w:anchor="_Toc24826815" w:history="1">
        <w:r w:rsidR="008654BE" w:rsidRPr="00061D31">
          <w:rPr>
            <w:rStyle w:val="af1"/>
          </w:rPr>
          <w:t>3.2 Лечение пациентов с впервые диагностированной ММ − не кандидатов на ВДХТ с ауто-ТГСК (старше 65 лет)</w:t>
        </w:r>
        <w:r w:rsidR="008654BE">
          <w:rPr>
            <w:webHidden/>
          </w:rPr>
          <w:tab/>
        </w:r>
        <w:r w:rsidR="008654BE">
          <w:rPr>
            <w:webHidden/>
          </w:rPr>
          <w:fldChar w:fldCharType="begin"/>
        </w:r>
        <w:r w:rsidR="008654BE">
          <w:rPr>
            <w:webHidden/>
          </w:rPr>
          <w:instrText xml:space="preserve"> PAGEREF _Toc24826815 \h </w:instrText>
        </w:r>
        <w:r w:rsidR="008654BE">
          <w:rPr>
            <w:webHidden/>
          </w:rPr>
        </w:r>
        <w:r w:rsidR="008654BE">
          <w:rPr>
            <w:webHidden/>
          </w:rPr>
          <w:fldChar w:fldCharType="separate"/>
        </w:r>
        <w:r w:rsidR="008654BE">
          <w:rPr>
            <w:webHidden/>
          </w:rPr>
          <w:t>21</w:t>
        </w:r>
        <w:r w:rsidR="008654BE">
          <w:rPr>
            <w:webHidden/>
          </w:rPr>
          <w:fldChar w:fldCharType="end"/>
        </w:r>
      </w:hyperlink>
    </w:p>
    <w:p w:rsidR="008654BE" w:rsidRDefault="002C057F" w:rsidP="008654BE">
      <w:pPr>
        <w:pStyle w:val="21"/>
        <w:rPr>
          <w:rFonts w:asciiTheme="minorHAnsi" w:eastAsiaTheme="minorEastAsia" w:hAnsiTheme="minorHAnsi" w:cstheme="minorBidi"/>
          <w:szCs w:val="24"/>
          <w:lang w:eastAsia="ru-RU"/>
        </w:rPr>
      </w:pPr>
      <w:hyperlink w:anchor="_Toc24826816" w:history="1">
        <w:r w:rsidR="008654BE" w:rsidRPr="00061D31">
          <w:rPr>
            <w:rStyle w:val="af1"/>
          </w:rPr>
          <w:t>3.3 Лечение пациентов с впервые диагностированной ММ, кандидатов на ВДХТ с последующей ауто-ТГСК</w:t>
        </w:r>
        <w:r w:rsidR="008654BE">
          <w:rPr>
            <w:webHidden/>
          </w:rPr>
          <w:tab/>
        </w:r>
        <w:r w:rsidR="008654BE">
          <w:rPr>
            <w:webHidden/>
          </w:rPr>
          <w:fldChar w:fldCharType="begin"/>
        </w:r>
        <w:r w:rsidR="008654BE">
          <w:rPr>
            <w:webHidden/>
          </w:rPr>
          <w:instrText xml:space="preserve"> PAGEREF _Toc24826816 \h </w:instrText>
        </w:r>
        <w:r w:rsidR="008654BE">
          <w:rPr>
            <w:webHidden/>
          </w:rPr>
        </w:r>
        <w:r w:rsidR="008654BE">
          <w:rPr>
            <w:webHidden/>
          </w:rPr>
          <w:fldChar w:fldCharType="separate"/>
        </w:r>
        <w:r w:rsidR="008654BE">
          <w:rPr>
            <w:webHidden/>
          </w:rPr>
          <w:t>24</w:t>
        </w:r>
        <w:r w:rsidR="008654BE">
          <w:rPr>
            <w:webHidden/>
          </w:rPr>
          <w:fldChar w:fldCharType="end"/>
        </w:r>
      </w:hyperlink>
    </w:p>
    <w:p w:rsidR="008654BE" w:rsidRDefault="002C057F" w:rsidP="008654BE">
      <w:pPr>
        <w:pStyle w:val="21"/>
        <w:rPr>
          <w:rFonts w:asciiTheme="minorHAnsi" w:eastAsiaTheme="minorEastAsia" w:hAnsiTheme="minorHAnsi" w:cstheme="minorBidi"/>
          <w:szCs w:val="24"/>
          <w:lang w:eastAsia="ru-RU"/>
        </w:rPr>
      </w:pPr>
      <w:hyperlink w:anchor="_Toc24826817" w:history="1">
        <w:r w:rsidR="008654BE" w:rsidRPr="00061D31">
          <w:rPr>
            <w:rStyle w:val="af1"/>
            <w:bCs/>
          </w:rPr>
          <w:t>3.3.1 Индукционный этап терапии</w:t>
        </w:r>
        <w:r w:rsidR="008654BE">
          <w:rPr>
            <w:webHidden/>
          </w:rPr>
          <w:tab/>
        </w:r>
        <w:r w:rsidR="008654BE">
          <w:rPr>
            <w:webHidden/>
          </w:rPr>
          <w:fldChar w:fldCharType="begin"/>
        </w:r>
        <w:r w:rsidR="008654BE">
          <w:rPr>
            <w:webHidden/>
          </w:rPr>
          <w:instrText xml:space="preserve"> PAGEREF _Toc24826817 \h </w:instrText>
        </w:r>
        <w:r w:rsidR="008654BE">
          <w:rPr>
            <w:webHidden/>
          </w:rPr>
        </w:r>
        <w:r w:rsidR="008654BE">
          <w:rPr>
            <w:webHidden/>
          </w:rPr>
          <w:fldChar w:fldCharType="separate"/>
        </w:r>
        <w:r w:rsidR="008654BE">
          <w:rPr>
            <w:webHidden/>
          </w:rPr>
          <w:t>25</w:t>
        </w:r>
        <w:r w:rsidR="008654BE">
          <w:rPr>
            <w:webHidden/>
          </w:rPr>
          <w:fldChar w:fldCharType="end"/>
        </w:r>
      </w:hyperlink>
    </w:p>
    <w:p w:rsidR="008654BE" w:rsidRPr="008654BE" w:rsidRDefault="002C057F" w:rsidP="008654BE">
      <w:pPr>
        <w:pStyle w:val="21"/>
        <w:rPr>
          <w:rFonts w:asciiTheme="minorHAnsi" w:eastAsiaTheme="minorEastAsia" w:hAnsiTheme="minorHAnsi" w:cstheme="minorBidi"/>
          <w:szCs w:val="24"/>
          <w:lang w:eastAsia="ru-RU"/>
        </w:rPr>
      </w:pPr>
      <w:hyperlink w:anchor="_Toc24826818" w:history="1">
        <w:r w:rsidR="008654BE" w:rsidRPr="008654BE">
          <w:rPr>
            <w:rStyle w:val="af1"/>
          </w:rPr>
          <w:t>3.3.2 Трансплантационный этап</w:t>
        </w:r>
        <w:r w:rsidR="008654BE" w:rsidRPr="008654BE">
          <w:rPr>
            <w:webHidden/>
          </w:rPr>
          <w:tab/>
        </w:r>
        <w:r w:rsidR="008654BE" w:rsidRPr="008654BE">
          <w:rPr>
            <w:webHidden/>
          </w:rPr>
          <w:fldChar w:fldCharType="begin"/>
        </w:r>
        <w:r w:rsidR="008654BE" w:rsidRPr="008654BE">
          <w:rPr>
            <w:webHidden/>
          </w:rPr>
          <w:instrText xml:space="preserve"> PAGEREF _Toc24826818 \h </w:instrText>
        </w:r>
        <w:r w:rsidR="008654BE" w:rsidRPr="008654BE">
          <w:rPr>
            <w:webHidden/>
          </w:rPr>
        </w:r>
        <w:r w:rsidR="008654BE" w:rsidRPr="008654BE">
          <w:rPr>
            <w:webHidden/>
          </w:rPr>
          <w:fldChar w:fldCharType="separate"/>
        </w:r>
        <w:r w:rsidR="008654BE" w:rsidRPr="008654BE">
          <w:rPr>
            <w:webHidden/>
          </w:rPr>
          <w:t>26</w:t>
        </w:r>
        <w:r w:rsidR="008654BE" w:rsidRPr="008654BE">
          <w:rPr>
            <w:webHidden/>
          </w:rPr>
          <w:fldChar w:fldCharType="end"/>
        </w:r>
      </w:hyperlink>
    </w:p>
    <w:p w:rsidR="008654BE" w:rsidRPr="008654BE" w:rsidRDefault="002C057F" w:rsidP="008654BE">
      <w:pPr>
        <w:pStyle w:val="21"/>
        <w:rPr>
          <w:rFonts w:asciiTheme="minorHAnsi" w:eastAsiaTheme="minorEastAsia" w:hAnsiTheme="minorHAnsi" w:cstheme="minorBidi"/>
          <w:szCs w:val="24"/>
          <w:lang w:eastAsia="ru-RU"/>
        </w:rPr>
      </w:pPr>
      <w:hyperlink w:anchor="_Toc24826819" w:history="1">
        <w:r w:rsidR="008654BE" w:rsidRPr="008654BE">
          <w:rPr>
            <w:rStyle w:val="af1"/>
          </w:rPr>
          <w:t>3.3.3 Этап консолидирующего лечения</w:t>
        </w:r>
        <w:r w:rsidR="008654BE" w:rsidRPr="008654BE">
          <w:rPr>
            <w:webHidden/>
          </w:rPr>
          <w:tab/>
        </w:r>
        <w:r w:rsidR="008654BE" w:rsidRPr="008654BE">
          <w:rPr>
            <w:webHidden/>
          </w:rPr>
          <w:fldChar w:fldCharType="begin"/>
        </w:r>
        <w:r w:rsidR="008654BE" w:rsidRPr="008654BE">
          <w:rPr>
            <w:webHidden/>
          </w:rPr>
          <w:instrText xml:space="preserve"> PAGEREF _Toc24826819 \h </w:instrText>
        </w:r>
        <w:r w:rsidR="008654BE" w:rsidRPr="008654BE">
          <w:rPr>
            <w:webHidden/>
          </w:rPr>
        </w:r>
        <w:r w:rsidR="008654BE" w:rsidRPr="008654BE">
          <w:rPr>
            <w:webHidden/>
          </w:rPr>
          <w:fldChar w:fldCharType="separate"/>
        </w:r>
        <w:r w:rsidR="008654BE" w:rsidRPr="008654BE">
          <w:rPr>
            <w:webHidden/>
          </w:rPr>
          <w:t>28</w:t>
        </w:r>
        <w:r w:rsidR="008654BE" w:rsidRPr="008654BE">
          <w:rPr>
            <w:webHidden/>
          </w:rPr>
          <w:fldChar w:fldCharType="end"/>
        </w:r>
      </w:hyperlink>
    </w:p>
    <w:p w:rsidR="008654BE" w:rsidRPr="008654BE" w:rsidRDefault="002C057F" w:rsidP="008654BE">
      <w:pPr>
        <w:pStyle w:val="21"/>
        <w:rPr>
          <w:rFonts w:asciiTheme="minorHAnsi" w:eastAsiaTheme="minorEastAsia" w:hAnsiTheme="minorHAnsi" w:cstheme="minorBidi"/>
          <w:szCs w:val="24"/>
          <w:lang w:eastAsia="ru-RU"/>
        </w:rPr>
      </w:pPr>
      <w:hyperlink w:anchor="_Toc24826820" w:history="1">
        <w:r w:rsidR="008654BE" w:rsidRPr="008654BE">
          <w:rPr>
            <w:rStyle w:val="af1"/>
          </w:rPr>
          <w:t>3.4 Лечение рецидивов ММ</w:t>
        </w:r>
        <w:r w:rsidR="008654BE" w:rsidRPr="008654BE">
          <w:rPr>
            <w:webHidden/>
          </w:rPr>
          <w:tab/>
        </w:r>
        <w:r w:rsidR="008654BE" w:rsidRPr="008654BE">
          <w:rPr>
            <w:webHidden/>
          </w:rPr>
          <w:fldChar w:fldCharType="begin"/>
        </w:r>
        <w:r w:rsidR="008654BE" w:rsidRPr="008654BE">
          <w:rPr>
            <w:webHidden/>
          </w:rPr>
          <w:instrText xml:space="preserve"> PAGEREF _Toc24826820 \h </w:instrText>
        </w:r>
        <w:r w:rsidR="008654BE" w:rsidRPr="008654BE">
          <w:rPr>
            <w:webHidden/>
          </w:rPr>
        </w:r>
        <w:r w:rsidR="008654BE" w:rsidRPr="008654BE">
          <w:rPr>
            <w:webHidden/>
          </w:rPr>
          <w:fldChar w:fldCharType="separate"/>
        </w:r>
        <w:r w:rsidR="008654BE" w:rsidRPr="008654BE">
          <w:rPr>
            <w:webHidden/>
          </w:rPr>
          <w:t>30</w:t>
        </w:r>
        <w:r w:rsidR="008654BE" w:rsidRPr="008654BE">
          <w:rPr>
            <w:webHidden/>
          </w:rPr>
          <w:fldChar w:fldCharType="end"/>
        </w:r>
      </w:hyperlink>
    </w:p>
    <w:p w:rsidR="008654BE" w:rsidRPr="008654BE" w:rsidRDefault="002C057F" w:rsidP="008654BE">
      <w:pPr>
        <w:pStyle w:val="21"/>
        <w:rPr>
          <w:rFonts w:asciiTheme="minorHAnsi" w:eastAsiaTheme="minorEastAsia" w:hAnsiTheme="minorHAnsi" w:cstheme="minorBidi"/>
          <w:szCs w:val="24"/>
          <w:lang w:eastAsia="ru-RU"/>
        </w:rPr>
      </w:pPr>
      <w:hyperlink w:anchor="_Toc24826821" w:history="1">
        <w:r w:rsidR="008654BE" w:rsidRPr="008654BE">
          <w:rPr>
            <w:rStyle w:val="af1"/>
          </w:rPr>
          <w:t>3.4.1 Лечение рецидива ММ, не отягощенного двойной рефрактерностью</w:t>
        </w:r>
        <w:r w:rsidR="008654BE" w:rsidRPr="008654BE">
          <w:rPr>
            <w:webHidden/>
          </w:rPr>
          <w:tab/>
        </w:r>
        <w:r w:rsidR="008654BE" w:rsidRPr="008654BE">
          <w:rPr>
            <w:webHidden/>
          </w:rPr>
          <w:fldChar w:fldCharType="begin"/>
        </w:r>
        <w:r w:rsidR="008654BE" w:rsidRPr="008654BE">
          <w:rPr>
            <w:webHidden/>
          </w:rPr>
          <w:instrText xml:space="preserve"> PAGEREF _Toc24826821 \h </w:instrText>
        </w:r>
        <w:r w:rsidR="008654BE" w:rsidRPr="008654BE">
          <w:rPr>
            <w:webHidden/>
          </w:rPr>
        </w:r>
        <w:r w:rsidR="008654BE" w:rsidRPr="008654BE">
          <w:rPr>
            <w:webHidden/>
          </w:rPr>
          <w:fldChar w:fldCharType="separate"/>
        </w:r>
        <w:r w:rsidR="008654BE" w:rsidRPr="008654BE">
          <w:rPr>
            <w:webHidden/>
          </w:rPr>
          <w:t>31</w:t>
        </w:r>
        <w:r w:rsidR="008654BE" w:rsidRPr="008654BE">
          <w:rPr>
            <w:webHidden/>
          </w:rPr>
          <w:fldChar w:fldCharType="end"/>
        </w:r>
      </w:hyperlink>
    </w:p>
    <w:p w:rsidR="008654BE" w:rsidRPr="008654BE" w:rsidRDefault="002C057F" w:rsidP="008654BE">
      <w:pPr>
        <w:pStyle w:val="21"/>
        <w:rPr>
          <w:rFonts w:asciiTheme="minorHAnsi" w:eastAsiaTheme="minorEastAsia" w:hAnsiTheme="minorHAnsi" w:cstheme="minorBidi"/>
          <w:szCs w:val="24"/>
          <w:lang w:eastAsia="ru-RU"/>
        </w:rPr>
      </w:pPr>
      <w:hyperlink w:anchor="_Toc24826822" w:history="1">
        <w:r w:rsidR="008654BE" w:rsidRPr="008654BE">
          <w:rPr>
            <w:rStyle w:val="af1"/>
          </w:rPr>
          <w:t>3.4.2 Лечение рецидива ММ, отягощенного двойной рефрактерностью</w:t>
        </w:r>
        <w:r w:rsidR="008654BE" w:rsidRPr="008654BE">
          <w:rPr>
            <w:webHidden/>
          </w:rPr>
          <w:tab/>
        </w:r>
        <w:r w:rsidR="008654BE" w:rsidRPr="008654BE">
          <w:rPr>
            <w:webHidden/>
          </w:rPr>
          <w:fldChar w:fldCharType="begin"/>
        </w:r>
        <w:r w:rsidR="008654BE" w:rsidRPr="008654BE">
          <w:rPr>
            <w:webHidden/>
          </w:rPr>
          <w:instrText xml:space="preserve"> PAGEREF _Toc24826822 \h </w:instrText>
        </w:r>
        <w:r w:rsidR="008654BE" w:rsidRPr="008654BE">
          <w:rPr>
            <w:webHidden/>
          </w:rPr>
        </w:r>
        <w:r w:rsidR="008654BE" w:rsidRPr="008654BE">
          <w:rPr>
            <w:webHidden/>
          </w:rPr>
          <w:fldChar w:fldCharType="separate"/>
        </w:r>
        <w:r w:rsidR="008654BE" w:rsidRPr="008654BE">
          <w:rPr>
            <w:webHidden/>
          </w:rPr>
          <w:t>38</w:t>
        </w:r>
        <w:r w:rsidR="008654BE" w:rsidRPr="008654BE">
          <w:rPr>
            <w:webHidden/>
          </w:rPr>
          <w:fldChar w:fldCharType="end"/>
        </w:r>
      </w:hyperlink>
    </w:p>
    <w:p w:rsidR="008654BE" w:rsidRDefault="002C057F" w:rsidP="008654BE">
      <w:pPr>
        <w:pStyle w:val="21"/>
        <w:rPr>
          <w:rFonts w:asciiTheme="minorHAnsi" w:eastAsiaTheme="minorEastAsia" w:hAnsiTheme="minorHAnsi" w:cstheme="minorBidi"/>
          <w:szCs w:val="24"/>
          <w:lang w:eastAsia="ru-RU"/>
        </w:rPr>
      </w:pPr>
      <w:hyperlink w:anchor="_Toc24826823" w:history="1">
        <w:r w:rsidR="008654BE" w:rsidRPr="00061D31">
          <w:rPr>
            <w:rStyle w:val="af1"/>
          </w:rPr>
          <w:t>3.5 Сопроводительная терапия</w:t>
        </w:r>
        <w:r w:rsidR="008654BE">
          <w:rPr>
            <w:webHidden/>
          </w:rPr>
          <w:tab/>
        </w:r>
        <w:r w:rsidR="008654BE">
          <w:rPr>
            <w:webHidden/>
          </w:rPr>
          <w:fldChar w:fldCharType="begin"/>
        </w:r>
        <w:r w:rsidR="008654BE">
          <w:rPr>
            <w:webHidden/>
          </w:rPr>
          <w:instrText xml:space="preserve"> PAGEREF _Toc24826823 \h </w:instrText>
        </w:r>
        <w:r w:rsidR="008654BE">
          <w:rPr>
            <w:webHidden/>
          </w:rPr>
        </w:r>
        <w:r w:rsidR="008654BE">
          <w:rPr>
            <w:webHidden/>
          </w:rPr>
          <w:fldChar w:fldCharType="separate"/>
        </w:r>
        <w:r w:rsidR="008654BE">
          <w:rPr>
            <w:webHidden/>
          </w:rPr>
          <w:t>41</w:t>
        </w:r>
        <w:r w:rsidR="008654BE">
          <w:rPr>
            <w:webHidden/>
          </w:rPr>
          <w:fldChar w:fldCharType="end"/>
        </w:r>
      </w:hyperlink>
    </w:p>
    <w:p w:rsidR="008654BE" w:rsidRDefault="002C057F" w:rsidP="008654BE">
      <w:pPr>
        <w:pStyle w:val="21"/>
        <w:rPr>
          <w:rFonts w:asciiTheme="minorHAnsi" w:eastAsiaTheme="minorEastAsia" w:hAnsiTheme="minorHAnsi" w:cstheme="minorBidi"/>
          <w:szCs w:val="24"/>
          <w:lang w:eastAsia="ru-RU"/>
        </w:rPr>
      </w:pPr>
      <w:hyperlink w:anchor="_Toc24826824" w:history="1">
        <w:r w:rsidR="008654BE" w:rsidRPr="00061D31">
          <w:rPr>
            <w:rStyle w:val="af1"/>
          </w:rPr>
          <w:t>3.6 Определение эффективности лечения</w:t>
        </w:r>
        <w:r w:rsidR="008654BE">
          <w:rPr>
            <w:webHidden/>
          </w:rPr>
          <w:tab/>
        </w:r>
        <w:r w:rsidR="008654BE">
          <w:rPr>
            <w:webHidden/>
          </w:rPr>
          <w:fldChar w:fldCharType="begin"/>
        </w:r>
        <w:r w:rsidR="008654BE">
          <w:rPr>
            <w:webHidden/>
          </w:rPr>
          <w:instrText xml:space="preserve"> PAGEREF _Toc24826824 \h </w:instrText>
        </w:r>
        <w:r w:rsidR="008654BE">
          <w:rPr>
            <w:webHidden/>
          </w:rPr>
        </w:r>
        <w:r w:rsidR="008654BE">
          <w:rPr>
            <w:webHidden/>
          </w:rPr>
          <w:fldChar w:fldCharType="separate"/>
        </w:r>
        <w:r w:rsidR="008654BE">
          <w:rPr>
            <w:webHidden/>
          </w:rPr>
          <w:t>42</w:t>
        </w:r>
        <w:r w:rsidR="008654BE">
          <w:rPr>
            <w:webHidden/>
          </w:rPr>
          <w:fldChar w:fldCharType="end"/>
        </w:r>
      </w:hyperlink>
    </w:p>
    <w:p w:rsidR="008654BE" w:rsidRDefault="002C057F" w:rsidP="008654BE">
      <w:pPr>
        <w:pStyle w:val="11"/>
        <w:rPr>
          <w:rFonts w:asciiTheme="minorHAnsi" w:eastAsiaTheme="minorEastAsia" w:hAnsiTheme="minorHAnsi" w:cstheme="minorBidi"/>
          <w:b/>
          <w:szCs w:val="24"/>
          <w:lang w:eastAsia="ru-RU"/>
        </w:rPr>
      </w:pPr>
      <w:hyperlink w:anchor="_Toc24826825" w:history="1">
        <w:r w:rsidR="008654BE" w:rsidRPr="00061D31">
          <w:rPr>
            <w:rStyle w:val="af1"/>
          </w:rPr>
          <w:t>4. Медицинская реабилитация, медицинские показания  и противопоказания к применению методов реабилитации</w:t>
        </w:r>
        <w:r w:rsidR="008654BE">
          <w:rPr>
            <w:webHidden/>
          </w:rPr>
          <w:tab/>
        </w:r>
        <w:r w:rsidR="008654BE">
          <w:rPr>
            <w:webHidden/>
          </w:rPr>
          <w:fldChar w:fldCharType="begin"/>
        </w:r>
        <w:r w:rsidR="008654BE">
          <w:rPr>
            <w:webHidden/>
          </w:rPr>
          <w:instrText xml:space="preserve"> PAGEREF _Toc24826825 \h </w:instrText>
        </w:r>
        <w:r w:rsidR="008654BE">
          <w:rPr>
            <w:webHidden/>
          </w:rPr>
        </w:r>
        <w:r w:rsidR="008654BE">
          <w:rPr>
            <w:webHidden/>
          </w:rPr>
          <w:fldChar w:fldCharType="separate"/>
        </w:r>
        <w:r w:rsidR="008654BE">
          <w:rPr>
            <w:webHidden/>
          </w:rPr>
          <w:t>43</w:t>
        </w:r>
        <w:r w:rsidR="008654BE">
          <w:rPr>
            <w:webHidden/>
          </w:rPr>
          <w:fldChar w:fldCharType="end"/>
        </w:r>
      </w:hyperlink>
    </w:p>
    <w:p w:rsidR="008654BE" w:rsidRDefault="002C057F" w:rsidP="008654BE">
      <w:pPr>
        <w:pStyle w:val="11"/>
        <w:rPr>
          <w:rFonts w:asciiTheme="minorHAnsi" w:eastAsiaTheme="minorEastAsia" w:hAnsiTheme="minorHAnsi" w:cstheme="minorBidi"/>
          <w:b/>
          <w:szCs w:val="24"/>
          <w:lang w:eastAsia="ru-RU"/>
        </w:rPr>
      </w:pPr>
      <w:hyperlink w:anchor="_Toc24826826" w:history="1">
        <w:r w:rsidR="008654BE" w:rsidRPr="00061D31">
          <w:rPr>
            <w:rStyle w:val="af1"/>
          </w:rPr>
          <w:t>5. Профилактика и диспансерное наблюдение, медицинские показания и противопоказания к применению методов профилактики</w:t>
        </w:r>
        <w:r w:rsidR="008654BE">
          <w:rPr>
            <w:webHidden/>
          </w:rPr>
          <w:tab/>
        </w:r>
        <w:r w:rsidR="008654BE">
          <w:rPr>
            <w:webHidden/>
          </w:rPr>
          <w:fldChar w:fldCharType="begin"/>
        </w:r>
        <w:r w:rsidR="008654BE">
          <w:rPr>
            <w:webHidden/>
          </w:rPr>
          <w:instrText xml:space="preserve"> PAGEREF _Toc24826826 \h </w:instrText>
        </w:r>
        <w:r w:rsidR="008654BE">
          <w:rPr>
            <w:webHidden/>
          </w:rPr>
        </w:r>
        <w:r w:rsidR="008654BE">
          <w:rPr>
            <w:webHidden/>
          </w:rPr>
          <w:fldChar w:fldCharType="separate"/>
        </w:r>
        <w:r w:rsidR="008654BE">
          <w:rPr>
            <w:webHidden/>
          </w:rPr>
          <w:t>44</w:t>
        </w:r>
        <w:r w:rsidR="008654BE">
          <w:rPr>
            <w:webHidden/>
          </w:rPr>
          <w:fldChar w:fldCharType="end"/>
        </w:r>
      </w:hyperlink>
    </w:p>
    <w:p w:rsidR="008654BE" w:rsidRDefault="002C057F" w:rsidP="008654BE">
      <w:pPr>
        <w:pStyle w:val="11"/>
        <w:rPr>
          <w:rFonts w:asciiTheme="minorHAnsi" w:eastAsiaTheme="minorEastAsia" w:hAnsiTheme="minorHAnsi" w:cstheme="minorBidi"/>
          <w:b/>
          <w:szCs w:val="24"/>
          <w:lang w:eastAsia="ru-RU"/>
        </w:rPr>
      </w:pPr>
      <w:hyperlink w:anchor="_Toc24826827" w:history="1">
        <w:r w:rsidR="008654BE" w:rsidRPr="00061D31">
          <w:rPr>
            <w:rStyle w:val="af1"/>
          </w:rPr>
          <w:t>6. Организация оказания медицинской помощи</w:t>
        </w:r>
        <w:r w:rsidR="008654BE">
          <w:rPr>
            <w:webHidden/>
          </w:rPr>
          <w:tab/>
        </w:r>
        <w:r w:rsidR="008654BE">
          <w:rPr>
            <w:webHidden/>
          </w:rPr>
          <w:fldChar w:fldCharType="begin"/>
        </w:r>
        <w:r w:rsidR="008654BE">
          <w:rPr>
            <w:webHidden/>
          </w:rPr>
          <w:instrText xml:space="preserve"> PAGEREF _Toc24826827 \h </w:instrText>
        </w:r>
        <w:r w:rsidR="008654BE">
          <w:rPr>
            <w:webHidden/>
          </w:rPr>
        </w:r>
        <w:r w:rsidR="008654BE">
          <w:rPr>
            <w:webHidden/>
          </w:rPr>
          <w:fldChar w:fldCharType="separate"/>
        </w:r>
        <w:r w:rsidR="008654BE">
          <w:rPr>
            <w:webHidden/>
          </w:rPr>
          <w:t>45</w:t>
        </w:r>
        <w:r w:rsidR="008654BE">
          <w:rPr>
            <w:webHidden/>
          </w:rPr>
          <w:fldChar w:fldCharType="end"/>
        </w:r>
      </w:hyperlink>
    </w:p>
    <w:p w:rsidR="008654BE" w:rsidRDefault="002C057F" w:rsidP="008654BE">
      <w:pPr>
        <w:pStyle w:val="11"/>
        <w:rPr>
          <w:rFonts w:asciiTheme="minorHAnsi" w:eastAsiaTheme="minorEastAsia" w:hAnsiTheme="minorHAnsi" w:cstheme="minorBidi"/>
          <w:b/>
          <w:szCs w:val="24"/>
          <w:lang w:eastAsia="ru-RU"/>
        </w:rPr>
      </w:pPr>
      <w:hyperlink w:anchor="_Toc24826828" w:history="1">
        <w:r w:rsidR="008654BE" w:rsidRPr="00061D31">
          <w:rPr>
            <w:rStyle w:val="af1"/>
          </w:rPr>
          <w:t>7. Дополнительная информация (в том числе факторы, влияющие на исход заболевания или состояния)</w:t>
        </w:r>
        <w:r w:rsidR="008654BE">
          <w:rPr>
            <w:webHidden/>
          </w:rPr>
          <w:tab/>
        </w:r>
        <w:r w:rsidR="008654BE">
          <w:rPr>
            <w:webHidden/>
          </w:rPr>
          <w:fldChar w:fldCharType="begin"/>
        </w:r>
        <w:r w:rsidR="008654BE">
          <w:rPr>
            <w:webHidden/>
          </w:rPr>
          <w:instrText xml:space="preserve"> PAGEREF _Toc24826828 \h </w:instrText>
        </w:r>
        <w:r w:rsidR="008654BE">
          <w:rPr>
            <w:webHidden/>
          </w:rPr>
        </w:r>
        <w:r w:rsidR="008654BE">
          <w:rPr>
            <w:webHidden/>
          </w:rPr>
          <w:fldChar w:fldCharType="separate"/>
        </w:r>
        <w:r w:rsidR="008654BE">
          <w:rPr>
            <w:webHidden/>
          </w:rPr>
          <w:t>48</w:t>
        </w:r>
        <w:r w:rsidR="008654BE">
          <w:rPr>
            <w:webHidden/>
          </w:rPr>
          <w:fldChar w:fldCharType="end"/>
        </w:r>
      </w:hyperlink>
    </w:p>
    <w:p w:rsidR="008654BE" w:rsidRDefault="002C057F" w:rsidP="008654BE">
      <w:pPr>
        <w:pStyle w:val="11"/>
        <w:rPr>
          <w:rFonts w:asciiTheme="minorHAnsi" w:eastAsiaTheme="minorEastAsia" w:hAnsiTheme="minorHAnsi" w:cstheme="minorBidi"/>
          <w:b/>
          <w:szCs w:val="24"/>
          <w:lang w:eastAsia="ru-RU"/>
        </w:rPr>
      </w:pPr>
      <w:hyperlink w:anchor="_Toc24826829" w:history="1">
        <w:r w:rsidR="008654BE" w:rsidRPr="00061D31">
          <w:rPr>
            <w:rStyle w:val="af1"/>
          </w:rPr>
          <w:t>Критерии оценки качества медицинской помощи</w:t>
        </w:r>
        <w:r w:rsidR="008654BE">
          <w:rPr>
            <w:webHidden/>
          </w:rPr>
          <w:tab/>
        </w:r>
        <w:r w:rsidR="008654BE">
          <w:rPr>
            <w:webHidden/>
          </w:rPr>
          <w:fldChar w:fldCharType="begin"/>
        </w:r>
        <w:r w:rsidR="008654BE">
          <w:rPr>
            <w:webHidden/>
          </w:rPr>
          <w:instrText xml:space="preserve"> PAGEREF _Toc24826829 \h </w:instrText>
        </w:r>
        <w:r w:rsidR="008654BE">
          <w:rPr>
            <w:webHidden/>
          </w:rPr>
        </w:r>
        <w:r w:rsidR="008654BE">
          <w:rPr>
            <w:webHidden/>
          </w:rPr>
          <w:fldChar w:fldCharType="separate"/>
        </w:r>
        <w:r w:rsidR="008654BE">
          <w:rPr>
            <w:webHidden/>
          </w:rPr>
          <w:t>50</w:t>
        </w:r>
        <w:r w:rsidR="008654BE">
          <w:rPr>
            <w:webHidden/>
          </w:rPr>
          <w:fldChar w:fldCharType="end"/>
        </w:r>
      </w:hyperlink>
    </w:p>
    <w:p w:rsidR="008654BE" w:rsidRDefault="002C057F" w:rsidP="008654BE">
      <w:pPr>
        <w:pStyle w:val="11"/>
        <w:rPr>
          <w:rFonts w:asciiTheme="minorHAnsi" w:eastAsiaTheme="minorEastAsia" w:hAnsiTheme="minorHAnsi" w:cstheme="minorBidi"/>
          <w:b/>
          <w:szCs w:val="24"/>
          <w:lang w:eastAsia="ru-RU"/>
        </w:rPr>
      </w:pPr>
      <w:hyperlink w:anchor="_Toc24826830" w:history="1">
        <w:r w:rsidR="008654BE" w:rsidRPr="00061D31">
          <w:rPr>
            <w:rStyle w:val="af1"/>
          </w:rPr>
          <w:t>Список литературы</w:t>
        </w:r>
        <w:r w:rsidR="008654BE">
          <w:rPr>
            <w:webHidden/>
          </w:rPr>
          <w:tab/>
        </w:r>
        <w:r w:rsidR="008654BE">
          <w:rPr>
            <w:webHidden/>
          </w:rPr>
          <w:fldChar w:fldCharType="begin"/>
        </w:r>
        <w:r w:rsidR="008654BE">
          <w:rPr>
            <w:webHidden/>
          </w:rPr>
          <w:instrText xml:space="preserve"> PAGEREF _Toc24826830 \h </w:instrText>
        </w:r>
        <w:r w:rsidR="008654BE">
          <w:rPr>
            <w:webHidden/>
          </w:rPr>
        </w:r>
        <w:r w:rsidR="008654BE">
          <w:rPr>
            <w:webHidden/>
          </w:rPr>
          <w:fldChar w:fldCharType="separate"/>
        </w:r>
        <w:r w:rsidR="008654BE">
          <w:rPr>
            <w:webHidden/>
          </w:rPr>
          <w:t>52</w:t>
        </w:r>
        <w:r w:rsidR="008654BE">
          <w:rPr>
            <w:webHidden/>
          </w:rPr>
          <w:fldChar w:fldCharType="end"/>
        </w:r>
      </w:hyperlink>
    </w:p>
    <w:p w:rsidR="008654BE" w:rsidRDefault="002C057F" w:rsidP="008654BE">
      <w:pPr>
        <w:pStyle w:val="11"/>
        <w:rPr>
          <w:rFonts w:asciiTheme="minorHAnsi" w:eastAsiaTheme="minorEastAsia" w:hAnsiTheme="minorHAnsi" w:cstheme="minorBidi"/>
          <w:b/>
          <w:szCs w:val="24"/>
          <w:lang w:eastAsia="ru-RU"/>
        </w:rPr>
      </w:pPr>
      <w:hyperlink w:anchor="_Toc24826831" w:history="1">
        <w:r w:rsidR="008654BE" w:rsidRPr="00061D31">
          <w:rPr>
            <w:rStyle w:val="af1"/>
          </w:rPr>
          <w:t>Приложение А1. Состав рабочей группы</w:t>
        </w:r>
        <w:r w:rsidR="008654BE">
          <w:rPr>
            <w:webHidden/>
          </w:rPr>
          <w:tab/>
        </w:r>
        <w:r w:rsidR="008654BE">
          <w:rPr>
            <w:webHidden/>
          </w:rPr>
          <w:fldChar w:fldCharType="begin"/>
        </w:r>
        <w:r w:rsidR="008654BE">
          <w:rPr>
            <w:webHidden/>
          </w:rPr>
          <w:instrText xml:space="preserve"> PAGEREF _Toc24826831 \h </w:instrText>
        </w:r>
        <w:r w:rsidR="008654BE">
          <w:rPr>
            <w:webHidden/>
          </w:rPr>
        </w:r>
        <w:r w:rsidR="008654BE">
          <w:rPr>
            <w:webHidden/>
          </w:rPr>
          <w:fldChar w:fldCharType="separate"/>
        </w:r>
        <w:r w:rsidR="008654BE">
          <w:rPr>
            <w:webHidden/>
          </w:rPr>
          <w:t>59</w:t>
        </w:r>
        <w:r w:rsidR="008654BE">
          <w:rPr>
            <w:webHidden/>
          </w:rPr>
          <w:fldChar w:fldCharType="end"/>
        </w:r>
      </w:hyperlink>
    </w:p>
    <w:p w:rsidR="008654BE" w:rsidRDefault="002C057F" w:rsidP="008654BE">
      <w:pPr>
        <w:pStyle w:val="11"/>
        <w:rPr>
          <w:rFonts w:asciiTheme="minorHAnsi" w:eastAsiaTheme="minorEastAsia" w:hAnsiTheme="minorHAnsi" w:cstheme="minorBidi"/>
          <w:b/>
          <w:szCs w:val="24"/>
          <w:lang w:eastAsia="ru-RU"/>
        </w:rPr>
      </w:pPr>
      <w:hyperlink w:anchor="_Toc24826832" w:history="1">
        <w:r w:rsidR="008654BE" w:rsidRPr="00061D31">
          <w:rPr>
            <w:rStyle w:val="af1"/>
          </w:rPr>
          <w:t>Приложение А2. Методология разработки клинических рекомендаций</w:t>
        </w:r>
        <w:r w:rsidR="008654BE">
          <w:rPr>
            <w:webHidden/>
          </w:rPr>
          <w:tab/>
        </w:r>
        <w:r w:rsidR="008654BE">
          <w:rPr>
            <w:webHidden/>
          </w:rPr>
          <w:fldChar w:fldCharType="begin"/>
        </w:r>
        <w:r w:rsidR="008654BE">
          <w:rPr>
            <w:webHidden/>
          </w:rPr>
          <w:instrText xml:space="preserve"> PAGEREF _Toc24826832 \h </w:instrText>
        </w:r>
        <w:r w:rsidR="008654BE">
          <w:rPr>
            <w:webHidden/>
          </w:rPr>
        </w:r>
        <w:r w:rsidR="008654BE">
          <w:rPr>
            <w:webHidden/>
          </w:rPr>
          <w:fldChar w:fldCharType="separate"/>
        </w:r>
        <w:r w:rsidR="008654BE">
          <w:rPr>
            <w:webHidden/>
          </w:rPr>
          <w:t>61</w:t>
        </w:r>
        <w:r w:rsidR="008654BE">
          <w:rPr>
            <w:webHidden/>
          </w:rPr>
          <w:fldChar w:fldCharType="end"/>
        </w:r>
      </w:hyperlink>
    </w:p>
    <w:p w:rsidR="008654BE" w:rsidRDefault="002C057F" w:rsidP="008654BE">
      <w:pPr>
        <w:pStyle w:val="11"/>
        <w:rPr>
          <w:rFonts w:asciiTheme="minorHAnsi" w:eastAsiaTheme="minorEastAsia" w:hAnsiTheme="minorHAnsi" w:cstheme="minorBidi"/>
          <w:b/>
          <w:szCs w:val="24"/>
          <w:lang w:eastAsia="ru-RU"/>
        </w:rPr>
      </w:pPr>
      <w:hyperlink w:anchor="_Toc24826833" w:history="1">
        <w:r w:rsidR="008654BE" w:rsidRPr="00061D31">
          <w:rPr>
            <w:rStyle w:val="af1"/>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8654BE">
          <w:rPr>
            <w:webHidden/>
          </w:rPr>
          <w:tab/>
        </w:r>
        <w:r w:rsidR="008654BE">
          <w:rPr>
            <w:webHidden/>
          </w:rPr>
          <w:fldChar w:fldCharType="begin"/>
        </w:r>
        <w:r w:rsidR="008654BE">
          <w:rPr>
            <w:webHidden/>
          </w:rPr>
          <w:instrText xml:space="preserve"> PAGEREF _Toc24826833 \h </w:instrText>
        </w:r>
        <w:r w:rsidR="008654BE">
          <w:rPr>
            <w:webHidden/>
          </w:rPr>
        </w:r>
        <w:r w:rsidR="008654BE">
          <w:rPr>
            <w:webHidden/>
          </w:rPr>
          <w:fldChar w:fldCharType="separate"/>
        </w:r>
        <w:r w:rsidR="008654BE">
          <w:rPr>
            <w:webHidden/>
          </w:rPr>
          <w:t>64</w:t>
        </w:r>
        <w:r w:rsidR="008654BE">
          <w:rPr>
            <w:webHidden/>
          </w:rPr>
          <w:fldChar w:fldCharType="end"/>
        </w:r>
      </w:hyperlink>
    </w:p>
    <w:p w:rsidR="008654BE" w:rsidRDefault="002C057F" w:rsidP="008654BE">
      <w:pPr>
        <w:pStyle w:val="21"/>
        <w:rPr>
          <w:rFonts w:asciiTheme="minorHAnsi" w:eastAsiaTheme="minorEastAsia" w:hAnsiTheme="minorHAnsi" w:cstheme="minorBidi"/>
          <w:szCs w:val="24"/>
          <w:lang w:eastAsia="ru-RU"/>
        </w:rPr>
      </w:pPr>
      <w:hyperlink w:anchor="_Toc24826834" w:history="1">
        <w:r w:rsidR="008654BE" w:rsidRPr="00061D31">
          <w:rPr>
            <w:rStyle w:val="af1"/>
          </w:rPr>
          <w:t>Приложение А3.1. Схемы лекарственного лечения множественной миеломы</w:t>
        </w:r>
        <w:r w:rsidR="008654BE">
          <w:rPr>
            <w:webHidden/>
          </w:rPr>
          <w:tab/>
        </w:r>
        <w:r w:rsidR="008654BE">
          <w:rPr>
            <w:webHidden/>
          </w:rPr>
          <w:fldChar w:fldCharType="begin"/>
        </w:r>
        <w:r w:rsidR="008654BE">
          <w:rPr>
            <w:webHidden/>
          </w:rPr>
          <w:instrText xml:space="preserve"> PAGEREF _Toc24826834 \h </w:instrText>
        </w:r>
        <w:r w:rsidR="008654BE">
          <w:rPr>
            <w:webHidden/>
          </w:rPr>
        </w:r>
        <w:r w:rsidR="008654BE">
          <w:rPr>
            <w:webHidden/>
          </w:rPr>
          <w:fldChar w:fldCharType="separate"/>
        </w:r>
        <w:r w:rsidR="008654BE">
          <w:rPr>
            <w:webHidden/>
          </w:rPr>
          <w:t>64</w:t>
        </w:r>
        <w:r w:rsidR="008654BE">
          <w:rPr>
            <w:webHidden/>
          </w:rPr>
          <w:fldChar w:fldCharType="end"/>
        </w:r>
      </w:hyperlink>
    </w:p>
    <w:p w:rsidR="008654BE" w:rsidRDefault="002C057F" w:rsidP="008654BE">
      <w:pPr>
        <w:pStyle w:val="21"/>
        <w:rPr>
          <w:rFonts w:asciiTheme="minorHAnsi" w:eastAsiaTheme="minorEastAsia" w:hAnsiTheme="minorHAnsi" w:cstheme="minorBidi"/>
          <w:szCs w:val="24"/>
          <w:lang w:eastAsia="ru-RU"/>
        </w:rPr>
      </w:pPr>
      <w:hyperlink w:anchor="_Toc24826835" w:history="1">
        <w:r w:rsidR="008654BE" w:rsidRPr="00061D31">
          <w:rPr>
            <w:rStyle w:val="af1"/>
            <w:bCs/>
          </w:rPr>
          <w:t>Приложение А3.2. Рекомендации по коррекции дозы леналидомида в зависимости от клиренса креатинина</w:t>
        </w:r>
        <w:r w:rsidR="008654BE">
          <w:rPr>
            <w:webHidden/>
          </w:rPr>
          <w:tab/>
        </w:r>
        <w:r w:rsidR="008654BE">
          <w:rPr>
            <w:webHidden/>
          </w:rPr>
          <w:fldChar w:fldCharType="begin"/>
        </w:r>
        <w:r w:rsidR="008654BE">
          <w:rPr>
            <w:webHidden/>
          </w:rPr>
          <w:instrText xml:space="preserve"> PAGEREF _Toc24826835 \h </w:instrText>
        </w:r>
        <w:r w:rsidR="008654BE">
          <w:rPr>
            <w:webHidden/>
          </w:rPr>
        </w:r>
        <w:r w:rsidR="008654BE">
          <w:rPr>
            <w:webHidden/>
          </w:rPr>
          <w:fldChar w:fldCharType="separate"/>
        </w:r>
        <w:r w:rsidR="008654BE">
          <w:rPr>
            <w:webHidden/>
          </w:rPr>
          <w:t>73</w:t>
        </w:r>
        <w:r w:rsidR="008654BE">
          <w:rPr>
            <w:webHidden/>
          </w:rPr>
          <w:fldChar w:fldCharType="end"/>
        </w:r>
      </w:hyperlink>
    </w:p>
    <w:p w:rsidR="008654BE" w:rsidRDefault="002C057F" w:rsidP="008654BE">
      <w:pPr>
        <w:pStyle w:val="11"/>
        <w:rPr>
          <w:rFonts w:asciiTheme="minorHAnsi" w:eastAsiaTheme="minorEastAsia" w:hAnsiTheme="minorHAnsi" w:cstheme="minorBidi"/>
          <w:b/>
          <w:szCs w:val="24"/>
          <w:lang w:eastAsia="ru-RU"/>
        </w:rPr>
      </w:pPr>
      <w:hyperlink w:anchor="_Toc24826836" w:history="1">
        <w:r w:rsidR="008654BE" w:rsidRPr="00061D31">
          <w:rPr>
            <w:rStyle w:val="af1"/>
          </w:rPr>
          <w:t>Приложение Б. Алгоритмы ведения пациента</w:t>
        </w:r>
        <w:r w:rsidR="008654BE">
          <w:rPr>
            <w:webHidden/>
          </w:rPr>
          <w:tab/>
        </w:r>
        <w:r w:rsidR="008654BE">
          <w:rPr>
            <w:webHidden/>
          </w:rPr>
          <w:fldChar w:fldCharType="begin"/>
        </w:r>
        <w:r w:rsidR="008654BE">
          <w:rPr>
            <w:webHidden/>
          </w:rPr>
          <w:instrText xml:space="preserve"> PAGEREF _Toc24826836 \h </w:instrText>
        </w:r>
        <w:r w:rsidR="008654BE">
          <w:rPr>
            <w:webHidden/>
          </w:rPr>
        </w:r>
        <w:r w:rsidR="008654BE">
          <w:rPr>
            <w:webHidden/>
          </w:rPr>
          <w:fldChar w:fldCharType="separate"/>
        </w:r>
        <w:r w:rsidR="008654BE">
          <w:rPr>
            <w:webHidden/>
          </w:rPr>
          <w:t>74</w:t>
        </w:r>
        <w:r w:rsidR="008654BE">
          <w:rPr>
            <w:webHidden/>
          </w:rPr>
          <w:fldChar w:fldCharType="end"/>
        </w:r>
      </w:hyperlink>
    </w:p>
    <w:p w:rsidR="008654BE" w:rsidRDefault="002C057F" w:rsidP="008654BE">
      <w:pPr>
        <w:pStyle w:val="11"/>
        <w:rPr>
          <w:rFonts w:asciiTheme="minorHAnsi" w:eastAsiaTheme="minorEastAsia" w:hAnsiTheme="minorHAnsi" w:cstheme="minorBidi"/>
          <w:b/>
          <w:szCs w:val="24"/>
          <w:lang w:eastAsia="ru-RU"/>
        </w:rPr>
      </w:pPr>
      <w:hyperlink w:anchor="_Toc24826837" w:history="1">
        <w:r w:rsidR="008654BE" w:rsidRPr="00061D31">
          <w:rPr>
            <w:rStyle w:val="af1"/>
          </w:rPr>
          <w:t>Приложение В. Информация для пациентов</w:t>
        </w:r>
        <w:r w:rsidR="008654BE">
          <w:rPr>
            <w:webHidden/>
          </w:rPr>
          <w:tab/>
        </w:r>
        <w:r w:rsidR="008654BE">
          <w:rPr>
            <w:webHidden/>
          </w:rPr>
          <w:fldChar w:fldCharType="begin"/>
        </w:r>
        <w:r w:rsidR="008654BE">
          <w:rPr>
            <w:webHidden/>
          </w:rPr>
          <w:instrText xml:space="preserve"> PAGEREF _Toc24826837 \h </w:instrText>
        </w:r>
        <w:r w:rsidR="008654BE">
          <w:rPr>
            <w:webHidden/>
          </w:rPr>
        </w:r>
        <w:r w:rsidR="008654BE">
          <w:rPr>
            <w:webHidden/>
          </w:rPr>
          <w:fldChar w:fldCharType="separate"/>
        </w:r>
        <w:r w:rsidR="008654BE">
          <w:rPr>
            <w:webHidden/>
          </w:rPr>
          <w:t>76</w:t>
        </w:r>
        <w:r w:rsidR="008654BE">
          <w:rPr>
            <w:webHidden/>
          </w:rPr>
          <w:fldChar w:fldCharType="end"/>
        </w:r>
      </w:hyperlink>
    </w:p>
    <w:p w:rsidR="008654BE" w:rsidRDefault="002C057F" w:rsidP="008654BE">
      <w:pPr>
        <w:pStyle w:val="11"/>
        <w:rPr>
          <w:rFonts w:asciiTheme="minorHAnsi" w:eastAsiaTheme="minorEastAsia" w:hAnsiTheme="minorHAnsi" w:cstheme="minorBidi"/>
          <w:b/>
          <w:szCs w:val="24"/>
          <w:lang w:eastAsia="ru-RU"/>
        </w:rPr>
      </w:pPr>
      <w:hyperlink w:anchor="_Toc24826838" w:history="1">
        <w:r w:rsidR="008654BE" w:rsidRPr="00061D31">
          <w:rPr>
            <w:rStyle w:val="af1"/>
          </w:rPr>
          <w:t>Приложение Г. Шкалы оценки, вопросники и другие оценочные инструменты состояния пациента, приведенные в клинических рекомендациях</w:t>
        </w:r>
        <w:r w:rsidR="008654BE">
          <w:rPr>
            <w:webHidden/>
          </w:rPr>
          <w:tab/>
        </w:r>
        <w:r w:rsidR="008654BE">
          <w:rPr>
            <w:webHidden/>
          </w:rPr>
          <w:fldChar w:fldCharType="begin"/>
        </w:r>
        <w:r w:rsidR="008654BE">
          <w:rPr>
            <w:webHidden/>
          </w:rPr>
          <w:instrText xml:space="preserve"> PAGEREF _Toc24826838 \h </w:instrText>
        </w:r>
        <w:r w:rsidR="008654BE">
          <w:rPr>
            <w:webHidden/>
          </w:rPr>
        </w:r>
        <w:r w:rsidR="008654BE">
          <w:rPr>
            <w:webHidden/>
          </w:rPr>
          <w:fldChar w:fldCharType="separate"/>
        </w:r>
        <w:r w:rsidR="008654BE">
          <w:rPr>
            <w:webHidden/>
          </w:rPr>
          <w:t>77</w:t>
        </w:r>
        <w:r w:rsidR="008654BE">
          <w:rPr>
            <w:webHidden/>
          </w:rPr>
          <w:fldChar w:fldCharType="end"/>
        </w:r>
      </w:hyperlink>
    </w:p>
    <w:p w:rsidR="008654BE" w:rsidRDefault="002C057F" w:rsidP="008654BE">
      <w:pPr>
        <w:pStyle w:val="21"/>
        <w:rPr>
          <w:rFonts w:asciiTheme="minorHAnsi" w:eastAsiaTheme="minorEastAsia" w:hAnsiTheme="minorHAnsi" w:cstheme="minorBidi"/>
          <w:szCs w:val="24"/>
          <w:lang w:eastAsia="ru-RU"/>
        </w:rPr>
      </w:pPr>
      <w:hyperlink w:anchor="_Toc24826839" w:history="1">
        <w:r w:rsidR="008654BE" w:rsidRPr="00061D31">
          <w:rPr>
            <w:rStyle w:val="af1"/>
            <w:bCs/>
          </w:rPr>
          <w:t>Приложение Г1. Шкала оценки общего состояния пациента ECOG</w:t>
        </w:r>
        <w:r w:rsidR="008654BE">
          <w:rPr>
            <w:webHidden/>
          </w:rPr>
          <w:tab/>
        </w:r>
        <w:r w:rsidR="008654BE">
          <w:rPr>
            <w:webHidden/>
          </w:rPr>
          <w:fldChar w:fldCharType="begin"/>
        </w:r>
        <w:r w:rsidR="008654BE">
          <w:rPr>
            <w:webHidden/>
          </w:rPr>
          <w:instrText xml:space="preserve"> PAGEREF _Toc24826839 \h </w:instrText>
        </w:r>
        <w:r w:rsidR="008654BE">
          <w:rPr>
            <w:webHidden/>
          </w:rPr>
        </w:r>
        <w:r w:rsidR="008654BE">
          <w:rPr>
            <w:webHidden/>
          </w:rPr>
          <w:fldChar w:fldCharType="separate"/>
        </w:r>
        <w:r w:rsidR="008654BE">
          <w:rPr>
            <w:webHidden/>
          </w:rPr>
          <w:t>77</w:t>
        </w:r>
        <w:r w:rsidR="008654BE">
          <w:rPr>
            <w:webHidden/>
          </w:rPr>
          <w:fldChar w:fldCharType="end"/>
        </w:r>
      </w:hyperlink>
    </w:p>
    <w:p w:rsidR="008F3621" w:rsidRPr="00E36015" w:rsidRDefault="00A96FB6" w:rsidP="00131E36">
      <w:pPr>
        <w:spacing w:before="0" w:after="0"/>
        <w:rPr>
          <w:b/>
        </w:rPr>
      </w:pPr>
      <w:r w:rsidRPr="00E36015">
        <w:rPr>
          <w:b/>
        </w:rPr>
        <w:fldChar w:fldCharType="end"/>
      </w:r>
    </w:p>
    <w:p w:rsidR="004D7374" w:rsidRPr="00E36DFA" w:rsidRDefault="004D7374" w:rsidP="00E36DFA">
      <w:pPr>
        <w:pStyle w:val="1"/>
      </w:pPr>
      <w:bookmarkStart w:id="2" w:name="_Toc520213121"/>
      <w:bookmarkStart w:id="3" w:name="_Toc24826798"/>
      <w:r w:rsidRPr="00E36DFA">
        <w:lastRenderedPageBreak/>
        <w:t>Список сокращений</w:t>
      </w:r>
      <w:bookmarkEnd w:id="2"/>
      <w:bookmarkEnd w:id="3"/>
    </w:p>
    <w:p w:rsidR="00D41B78" w:rsidRPr="000822E2" w:rsidRDefault="00D41B78" w:rsidP="00131E36">
      <w:pPr>
        <w:spacing w:before="0" w:after="0"/>
        <w:ind w:firstLine="709"/>
        <w:contextualSpacing/>
        <w:rPr>
          <w:rFonts w:eastAsia="Times New Roman"/>
          <w:szCs w:val="24"/>
        </w:rPr>
      </w:pPr>
      <w:r w:rsidRPr="00543291">
        <w:rPr>
          <w:rFonts w:eastAsia="Times New Roman"/>
          <w:b/>
          <w:szCs w:val="24"/>
        </w:rPr>
        <w:t>BBD</w:t>
      </w:r>
      <w:r w:rsidR="00DA68C1">
        <w:rPr>
          <w:rFonts w:eastAsia="Times New Roman"/>
          <w:b/>
          <w:szCs w:val="24"/>
        </w:rPr>
        <w:t xml:space="preserve"> </w:t>
      </w:r>
      <w:r w:rsidRPr="000822E2">
        <w:rPr>
          <w:rFonts w:eastAsia="Times New Roman"/>
          <w:szCs w:val="24"/>
          <w:lang w:eastAsia="ru-RU"/>
        </w:rPr>
        <w:t xml:space="preserve">– </w:t>
      </w:r>
      <w:r w:rsidRPr="000822E2">
        <w:rPr>
          <w:szCs w:val="24"/>
        </w:rPr>
        <w:t xml:space="preserve">режим иммунохимиотерапии, включающий бендамустин**, бортезомиб** и дексаметазон** </w:t>
      </w:r>
    </w:p>
    <w:p w:rsidR="00A852AC" w:rsidRPr="000822E2" w:rsidRDefault="00A852AC" w:rsidP="00131E36">
      <w:pPr>
        <w:spacing w:before="0" w:after="0"/>
        <w:ind w:firstLine="709"/>
        <w:contextualSpacing/>
        <w:rPr>
          <w:rFonts w:eastAsia="Times New Roman"/>
          <w:szCs w:val="24"/>
        </w:rPr>
      </w:pPr>
      <w:r w:rsidRPr="00543291">
        <w:rPr>
          <w:rFonts w:eastAsia="Times New Roman"/>
          <w:b/>
          <w:szCs w:val="24"/>
        </w:rPr>
        <w:t>BP</w:t>
      </w:r>
      <w:r w:rsidR="0086466D">
        <w:rPr>
          <w:rFonts w:eastAsia="Times New Roman"/>
          <w:b/>
          <w:szCs w:val="24"/>
        </w:rPr>
        <w:t xml:space="preserve"> </w:t>
      </w:r>
      <w:r w:rsidRPr="000822E2">
        <w:rPr>
          <w:rFonts w:eastAsia="Times New Roman"/>
          <w:szCs w:val="24"/>
          <w:lang w:eastAsia="ru-RU"/>
        </w:rPr>
        <w:t xml:space="preserve">– </w:t>
      </w:r>
      <w:r w:rsidRPr="000822E2">
        <w:rPr>
          <w:szCs w:val="24"/>
        </w:rPr>
        <w:t xml:space="preserve">режим иммунохимиотерапии, включающий бендамустин** и преднизолон** </w:t>
      </w:r>
    </w:p>
    <w:p w:rsidR="00D41B78" w:rsidRPr="000822E2" w:rsidRDefault="00D41B78" w:rsidP="00131E36">
      <w:pPr>
        <w:spacing w:before="0" w:after="0"/>
        <w:ind w:firstLine="709"/>
        <w:contextualSpacing/>
        <w:rPr>
          <w:rFonts w:eastAsia="Times New Roman"/>
          <w:szCs w:val="24"/>
        </w:rPr>
      </w:pPr>
      <w:r w:rsidRPr="00543291">
        <w:rPr>
          <w:rFonts w:eastAsia="Times New Roman"/>
          <w:b/>
          <w:szCs w:val="24"/>
        </w:rPr>
        <w:t>BRD</w:t>
      </w:r>
      <w:r w:rsidR="00DA68C1">
        <w:rPr>
          <w:rFonts w:eastAsia="Times New Roman"/>
          <w:b/>
          <w:szCs w:val="24"/>
        </w:rPr>
        <w:t xml:space="preserve"> </w:t>
      </w:r>
      <w:r w:rsidRPr="000822E2">
        <w:rPr>
          <w:rFonts w:eastAsia="Times New Roman"/>
          <w:szCs w:val="24"/>
          <w:lang w:eastAsia="ru-RU"/>
        </w:rPr>
        <w:t xml:space="preserve">– </w:t>
      </w:r>
      <w:r w:rsidRPr="000822E2">
        <w:rPr>
          <w:szCs w:val="24"/>
        </w:rPr>
        <w:t xml:space="preserve">режим иммунохимиотерапии, включающий бендамустин**, леналидомид** и дексаметазон** </w:t>
      </w:r>
    </w:p>
    <w:p w:rsidR="009D5CFE" w:rsidRPr="000822E2" w:rsidRDefault="009D5CFE" w:rsidP="00131E36">
      <w:pPr>
        <w:spacing w:before="0" w:after="0"/>
        <w:ind w:firstLine="709"/>
        <w:contextualSpacing/>
        <w:rPr>
          <w:rFonts w:eastAsia="Times New Roman"/>
          <w:szCs w:val="24"/>
          <w:lang w:eastAsia="ru-RU"/>
        </w:rPr>
      </w:pPr>
      <w:r w:rsidRPr="00543291">
        <w:rPr>
          <w:rFonts w:eastAsia="Times New Roman"/>
          <w:b/>
          <w:szCs w:val="24"/>
          <w:lang w:eastAsia="ru-RU"/>
        </w:rPr>
        <w:t>CD</w:t>
      </w:r>
      <w:r w:rsidRPr="000822E2">
        <w:rPr>
          <w:rFonts w:eastAsia="Times New Roman"/>
          <w:szCs w:val="24"/>
          <w:lang w:eastAsia="ru-RU"/>
        </w:rPr>
        <w:t xml:space="preserve"> – </w:t>
      </w:r>
      <w:r w:rsidRPr="000822E2">
        <w:rPr>
          <w:szCs w:val="24"/>
        </w:rPr>
        <w:t xml:space="preserve">режим иммунохимиотерапии, включающий циклофосфамид** и преднизолон** </w:t>
      </w:r>
    </w:p>
    <w:p w:rsidR="00A852AC" w:rsidRDefault="00A852AC" w:rsidP="00131E36">
      <w:pPr>
        <w:spacing w:before="0" w:after="0"/>
        <w:ind w:firstLine="709"/>
        <w:contextualSpacing/>
        <w:rPr>
          <w:szCs w:val="24"/>
        </w:rPr>
      </w:pPr>
      <w:r w:rsidRPr="00543291">
        <w:rPr>
          <w:rFonts w:eastAsia="Times New Roman"/>
          <w:b/>
          <w:szCs w:val="24"/>
          <w:lang w:eastAsia="ru-RU"/>
        </w:rPr>
        <w:t>СР</w:t>
      </w:r>
      <w:r w:rsidRPr="000822E2">
        <w:rPr>
          <w:rFonts w:eastAsia="Times New Roman"/>
          <w:szCs w:val="24"/>
          <w:lang w:eastAsia="ru-RU"/>
        </w:rPr>
        <w:t xml:space="preserve"> – </w:t>
      </w:r>
      <w:r w:rsidRPr="000822E2">
        <w:rPr>
          <w:szCs w:val="24"/>
        </w:rPr>
        <w:t xml:space="preserve">режим иммунохимиотерапии, включающий циклофосфамид** и преднизолон** </w:t>
      </w:r>
    </w:p>
    <w:p w:rsidR="00037CBC" w:rsidRPr="00037CBC" w:rsidRDefault="00037CBC" w:rsidP="00131E36">
      <w:pPr>
        <w:spacing w:before="0" w:after="0"/>
        <w:ind w:firstLine="709"/>
        <w:contextualSpacing/>
        <w:rPr>
          <w:rFonts w:eastAsia="Times New Roman"/>
          <w:szCs w:val="24"/>
          <w:lang w:eastAsia="ru-RU"/>
        </w:rPr>
      </w:pPr>
      <w:r>
        <w:rPr>
          <w:rFonts w:eastAsia="Times New Roman"/>
          <w:b/>
          <w:szCs w:val="24"/>
          <w:lang w:val="en-US" w:eastAsia="ru-RU"/>
        </w:rPr>
        <w:t>CRAB</w:t>
      </w:r>
      <w:r w:rsidR="00DA68C1">
        <w:rPr>
          <w:rFonts w:eastAsia="Times New Roman"/>
          <w:b/>
          <w:szCs w:val="24"/>
          <w:lang w:eastAsia="ru-RU"/>
        </w:rPr>
        <w:t xml:space="preserve"> </w:t>
      </w:r>
      <w:r>
        <w:rPr>
          <w:rFonts w:eastAsia="Times New Roman"/>
          <w:b/>
          <w:szCs w:val="24"/>
          <w:lang w:eastAsia="ru-RU"/>
        </w:rPr>
        <w:t>–</w:t>
      </w:r>
      <w:r>
        <w:rPr>
          <w:rFonts w:eastAsia="Times New Roman"/>
          <w:szCs w:val="24"/>
          <w:lang w:eastAsia="ru-RU"/>
        </w:rPr>
        <w:t xml:space="preserve"> совокупность органных повреждений при симптоматической </w:t>
      </w:r>
      <w:r w:rsidR="00E66AB6">
        <w:rPr>
          <w:rFonts w:eastAsia="Times New Roman"/>
          <w:szCs w:val="24"/>
          <w:lang w:eastAsia="ru-RU"/>
        </w:rPr>
        <w:t>множественной миеломе:</w:t>
      </w:r>
      <w:r>
        <w:rPr>
          <w:rFonts w:eastAsia="Times New Roman"/>
          <w:szCs w:val="24"/>
          <w:lang w:eastAsia="ru-RU"/>
        </w:rPr>
        <w:t xml:space="preserve"> гиперкальциемия, дисфункция почек, анемия, повреждения костей</w:t>
      </w:r>
    </w:p>
    <w:p w:rsidR="00B83110" w:rsidRPr="000822E2" w:rsidRDefault="00B83110" w:rsidP="00131E36">
      <w:pPr>
        <w:spacing w:before="0" w:after="0"/>
        <w:ind w:firstLine="709"/>
        <w:contextualSpacing/>
        <w:rPr>
          <w:rFonts w:eastAsia="Times New Roman"/>
          <w:szCs w:val="24"/>
          <w:lang w:eastAsia="ru-RU"/>
        </w:rPr>
      </w:pPr>
      <w:r w:rsidRPr="00543291">
        <w:rPr>
          <w:rFonts w:eastAsia="Times New Roman"/>
          <w:b/>
          <w:szCs w:val="24"/>
          <w:lang w:eastAsia="ru-RU"/>
        </w:rPr>
        <w:t>CVD</w:t>
      </w:r>
      <w:r w:rsidRPr="000822E2">
        <w:rPr>
          <w:rFonts w:eastAsia="Times New Roman"/>
          <w:szCs w:val="24"/>
          <w:lang w:eastAsia="ru-RU"/>
        </w:rPr>
        <w:t xml:space="preserve"> – </w:t>
      </w:r>
      <w:r w:rsidRPr="000822E2">
        <w:rPr>
          <w:szCs w:val="24"/>
        </w:rPr>
        <w:t xml:space="preserve">режим иммунохимиотерапии, включающий циклофосфамид**, бортезомиб** и дексаметазон** </w:t>
      </w:r>
    </w:p>
    <w:p w:rsidR="005451CE" w:rsidRPr="000822E2" w:rsidRDefault="005451CE" w:rsidP="00131E36">
      <w:pPr>
        <w:spacing w:before="0" w:after="0"/>
        <w:ind w:firstLine="709"/>
        <w:contextualSpacing/>
        <w:rPr>
          <w:rFonts w:eastAsia="Times New Roman"/>
          <w:szCs w:val="24"/>
          <w:lang w:eastAsia="ru-RU"/>
        </w:rPr>
      </w:pPr>
      <w:r w:rsidRPr="00543291">
        <w:rPr>
          <w:rFonts w:eastAsia="Times New Roman"/>
          <w:b/>
          <w:szCs w:val="24"/>
          <w:lang w:val="en-US" w:eastAsia="ru-RU"/>
        </w:rPr>
        <w:t>Dara</w:t>
      </w:r>
      <w:r w:rsidRPr="00543291">
        <w:rPr>
          <w:rFonts w:eastAsia="Times New Roman"/>
          <w:b/>
          <w:szCs w:val="24"/>
          <w:lang w:eastAsia="ru-RU"/>
        </w:rPr>
        <w:t>-</w:t>
      </w:r>
      <w:r w:rsidRPr="00543291">
        <w:rPr>
          <w:rFonts w:eastAsia="Times New Roman"/>
          <w:b/>
          <w:szCs w:val="24"/>
          <w:lang w:val="en-US" w:eastAsia="ru-RU"/>
        </w:rPr>
        <w:t>Rd</w:t>
      </w:r>
      <w:r w:rsidRPr="000822E2">
        <w:rPr>
          <w:rFonts w:eastAsia="Times New Roman"/>
          <w:szCs w:val="24"/>
          <w:lang w:eastAsia="ru-RU"/>
        </w:rPr>
        <w:t xml:space="preserve"> – </w:t>
      </w:r>
      <w:r w:rsidRPr="000822E2">
        <w:rPr>
          <w:szCs w:val="24"/>
        </w:rPr>
        <w:t xml:space="preserve">режим иммунохимиотерапии, включающий даратумумаб**, леналидомид** и дексаметазон** </w:t>
      </w:r>
    </w:p>
    <w:p w:rsidR="005451CE" w:rsidRPr="000822E2" w:rsidRDefault="005451CE" w:rsidP="00131E36">
      <w:pPr>
        <w:autoSpaceDE w:val="0"/>
        <w:autoSpaceDN w:val="0"/>
        <w:adjustRightInd w:val="0"/>
        <w:spacing w:before="0" w:after="0"/>
        <w:ind w:firstLine="709"/>
        <w:contextualSpacing/>
        <w:rPr>
          <w:szCs w:val="24"/>
          <w:lang w:eastAsia="ru-RU"/>
        </w:rPr>
      </w:pPr>
      <w:r w:rsidRPr="00543291">
        <w:rPr>
          <w:b/>
          <w:szCs w:val="24"/>
          <w:lang w:val="en-US" w:eastAsia="ru-RU"/>
        </w:rPr>
        <w:t>Dara</w:t>
      </w:r>
      <w:r w:rsidRPr="00543291">
        <w:rPr>
          <w:b/>
          <w:szCs w:val="24"/>
          <w:lang w:eastAsia="ru-RU"/>
        </w:rPr>
        <w:t>-</w:t>
      </w:r>
      <w:r w:rsidRPr="00543291">
        <w:rPr>
          <w:b/>
          <w:szCs w:val="24"/>
          <w:lang w:val="en-US" w:eastAsia="ru-RU"/>
        </w:rPr>
        <w:t>VD</w:t>
      </w:r>
      <w:r w:rsidR="00DA68C1">
        <w:rPr>
          <w:b/>
          <w:szCs w:val="24"/>
          <w:lang w:eastAsia="ru-RU"/>
        </w:rPr>
        <w:t xml:space="preserve"> </w:t>
      </w:r>
      <w:r w:rsidRPr="000822E2">
        <w:rPr>
          <w:rFonts w:eastAsia="Times New Roman"/>
          <w:szCs w:val="24"/>
          <w:lang w:eastAsia="ru-RU"/>
        </w:rPr>
        <w:t xml:space="preserve">– </w:t>
      </w:r>
      <w:r w:rsidRPr="000822E2">
        <w:rPr>
          <w:szCs w:val="24"/>
        </w:rPr>
        <w:t xml:space="preserve">режим иммунохимиотерапии, включающий даратумумаб**, бортезомиб** и дексаметазон** </w:t>
      </w:r>
    </w:p>
    <w:p w:rsidR="005451CE" w:rsidRPr="000822E2" w:rsidRDefault="005451CE" w:rsidP="00131E36">
      <w:pPr>
        <w:autoSpaceDE w:val="0"/>
        <w:autoSpaceDN w:val="0"/>
        <w:adjustRightInd w:val="0"/>
        <w:spacing w:before="0" w:after="0"/>
        <w:ind w:firstLine="709"/>
        <w:contextualSpacing/>
        <w:rPr>
          <w:szCs w:val="24"/>
          <w:lang w:eastAsia="ru-RU"/>
        </w:rPr>
      </w:pPr>
      <w:r w:rsidRPr="00543291">
        <w:rPr>
          <w:b/>
          <w:szCs w:val="24"/>
          <w:lang w:val="en-US" w:eastAsia="ru-RU"/>
        </w:rPr>
        <w:t>Dara</w:t>
      </w:r>
      <w:r w:rsidRPr="00543291">
        <w:rPr>
          <w:b/>
          <w:szCs w:val="24"/>
          <w:lang w:eastAsia="ru-RU"/>
        </w:rPr>
        <w:t>-</w:t>
      </w:r>
      <w:r w:rsidRPr="00543291">
        <w:rPr>
          <w:b/>
          <w:szCs w:val="24"/>
          <w:lang w:val="en-US" w:eastAsia="ru-RU"/>
        </w:rPr>
        <w:t>VMP</w:t>
      </w:r>
      <w:r w:rsidR="00DA68C1">
        <w:rPr>
          <w:b/>
          <w:szCs w:val="24"/>
          <w:lang w:eastAsia="ru-RU"/>
        </w:rPr>
        <w:t xml:space="preserve"> </w:t>
      </w:r>
      <w:r w:rsidRPr="000822E2">
        <w:rPr>
          <w:rFonts w:eastAsia="Times New Roman"/>
          <w:szCs w:val="24"/>
          <w:lang w:eastAsia="ru-RU"/>
        </w:rPr>
        <w:t xml:space="preserve">– </w:t>
      </w:r>
      <w:r w:rsidRPr="000822E2">
        <w:rPr>
          <w:szCs w:val="24"/>
        </w:rPr>
        <w:t xml:space="preserve">режим иммунохимиотерапии, включающий даратумумаб**, мелфалан**, бортезомиб** и преднизолон** </w:t>
      </w:r>
    </w:p>
    <w:p w:rsidR="00524AC8" w:rsidRPr="000822E2" w:rsidRDefault="00524AC8" w:rsidP="00131E36">
      <w:pPr>
        <w:pStyle w:val="af6"/>
        <w:tabs>
          <w:tab w:val="left" w:pos="0"/>
        </w:tabs>
        <w:spacing w:after="0" w:line="360" w:lineRule="auto"/>
        <w:ind w:firstLine="709"/>
        <w:contextualSpacing/>
      </w:pPr>
      <w:r w:rsidRPr="00543291">
        <w:rPr>
          <w:b/>
          <w:lang w:eastAsia="ru-RU"/>
        </w:rPr>
        <w:t>DCEP</w:t>
      </w:r>
      <w:r w:rsidRPr="000822E2">
        <w:rPr>
          <w:lang w:eastAsia="ru-RU"/>
        </w:rPr>
        <w:t xml:space="preserve"> – </w:t>
      </w:r>
      <w:r w:rsidRPr="000822E2">
        <w:t xml:space="preserve">режим иммунохимиотерапии, включающий циклофосфамид**, </w:t>
      </w:r>
      <w:r w:rsidR="00257474" w:rsidRPr="00257474">
        <w:t>#</w:t>
      </w:r>
      <w:r w:rsidRPr="000822E2">
        <w:t xml:space="preserve">этопозид**, </w:t>
      </w:r>
      <w:r w:rsidR="00257474" w:rsidRPr="00257474">
        <w:t>#</w:t>
      </w:r>
      <w:r w:rsidRPr="000822E2">
        <w:t xml:space="preserve">цисплатин** и дексаметазон** </w:t>
      </w:r>
    </w:p>
    <w:p w:rsidR="005451CE" w:rsidRPr="000822E2" w:rsidRDefault="005451CE" w:rsidP="00131E36">
      <w:pPr>
        <w:pStyle w:val="af6"/>
        <w:tabs>
          <w:tab w:val="left" w:pos="0"/>
        </w:tabs>
        <w:spacing w:after="0" w:line="360" w:lineRule="auto"/>
        <w:ind w:firstLine="709"/>
        <w:contextualSpacing/>
      </w:pPr>
      <w:r w:rsidRPr="00543291">
        <w:rPr>
          <w:b/>
        </w:rPr>
        <w:t>EloRd</w:t>
      </w:r>
      <w:r w:rsidR="00DA68C1">
        <w:rPr>
          <w:b/>
        </w:rPr>
        <w:t xml:space="preserve"> </w:t>
      </w:r>
      <w:r w:rsidRPr="000822E2">
        <w:rPr>
          <w:lang w:eastAsia="ru-RU"/>
        </w:rPr>
        <w:t xml:space="preserve">– </w:t>
      </w:r>
      <w:r w:rsidRPr="000822E2">
        <w:t xml:space="preserve">режим иммунохимиотерапии, включающий элотузумаб, леналидомид** и дексаметазон** </w:t>
      </w:r>
    </w:p>
    <w:p w:rsidR="00524AC8" w:rsidRPr="000822E2" w:rsidRDefault="00524AC8" w:rsidP="00131E36">
      <w:pPr>
        <w:spacing w:before="0" w:after="0"/>
        <w:ind w:firstLine="709"/>
        <w:contextualSpacing/>
        <w:rPr>
          <w:szCs w:val="24"/>
        </w:rPr>
      </w:pPr>
      <w:r w:rsidRPr="00543291">
        <w:rPr>
          <w:b/>
          <w:szCs w:val="24"/>
        </w:rPr>
        <w:t>IMWG</w:t>
      </w:r>
      <w:r w:rsidRPr="000822E2">
        <w:rPr>
          <w:szCs w:val="24"/>
        </w:rPr>
        <w:t xml:space="preserve"> – Международная группа по изучению множественной миеломы</w:t>
      </w:r>
    </w:p>
    <w:p w:rsidR="00524AC8" w:rsidRDefault="00524AC8" w:rsidP="00131E36">
      <w:pPr>
        <w:spacing w:before="0" w:after="0"/>
        <w:ind w:firstLine="709"/>
        <w:contextualSpacing/>
        <w:rPr>
          <w:szCs w:val="24"/>
        </w:rPr>
      </w:pPr>
      <w:r w:rsidRPr="00543291">
        <w:rPr>
          <w:b/>
          <w:szCs w:val="24"/>
        </w:rPr>
        <w:t>ISS</w:t>
      </w:r>
      <w:r w:rsidRPr="000822E2">
        <w:rPr>
          <w:szCs w:val="24"/>
        </w:rPr>
        <w:t xml:space="preserve"> – международная система стадирования (International</w:t>
      </w:r>
      <w:r w:rsidR="00434DBC">
        <w:rPr>
          <w:szCs w:val="24"/>
        </w:rPr>
        <w:t xml:space="preserve"> </w:t>
      </w:r>
      <w:r w:rsidRPr="000822E2">
        <w:rPr>
          <w:szCs w:val="24"/>
        </w:rPr>
        <w:t>Staging</w:t>
      </w:r>
      <w:r w:rsidR="00434DBC">
        <w:rPr>
          <w:szCs w:val="24"/>
        </w:rPr>
        <w:t xml:space="preserve"> </w:t>
      </w:r>
      <w:r w:rsidRPr="000822E2">
        <w:rPr>
          <w:szCs w:val="24"/>
        </w:rPr>
        <w:t>System – ISS)</w:t>
      </w:r>
    </w:p>
    <w:p w:rsidR="00496D81" w:rsidRPr="00496D81" w:rsidRDefault="00496D81" w:rsidP="00131E36">
      <w:pPr>
        <w:spacing w:before="0" w:after="0"/>
        <w:ind w:firstLine="709"/>
        <w:contextualSpacing/>
        <w:rPr>
          <w:szCs w:val="24"/>
        </w:rPr>
      </w:pPr>
      <w:r w:rsidRPr="00496D81">
        <w:rPr>
          <w:b/>
          <w:szCs w:val="24"/>
          <w:lang w:val="en-US"/>
        </w:rPr>
        <w:t>Ig</w:t>
      </w:r>
      <w:r>
        <w:rPr>
          <w:szCs w:val="24"/>
        </w:rPr>
        <w:t xml:space="preserve"> − иммуноглобулин</w:t>
      </w:r>
    </w:p>
    <w:p w:rsidR="00E23DCE" w:rsidRPr="000822E2" w:rsidRDefault="00E23DCE" w:rsidP="00131E36">
      <w:pPr>
        <w:spacing w:before="0" w:after="0"/>
        <w:ind w:firstLine="709"/>
        <w:contextualSpacing/>
        <w:rPr>
          <w:rFonts w:eastAsia="Times New Roman"/>
          <w:szCs w:val="24"/>
        </w:rPr>
      </w:pPr>
      <w:r w:rsidRPr="00211136">
        <w:rPr>
          <w:rFonts w:eastAsia="Times New Roman"/>
          <w:b/>
          <w:szCs w:val="24"/>
        </w:rPr>
        <w:t>IxaRd</w:t>
      </w:r>
      <w:r w:rsidR="00DA68C1">
        <w:rPr>
          <w:rFonts w:eastAsia="Times New Roman"/>
          <w:b/>
          <w:szCs w:val="24"/>
        </w:rPr>
        <w:t xml:space="preserve"> </w:t>
      </w:r>
      <w:r w:rsidRPr="000822E2">
        <w:rPr>
          <w:rFonts w:eastAsia="Times New Roman"/>
          <w:szCs w:val="24"/>
          <w:lang w:eastAsia="ru-RU"/>
        </w:rPr>
        <w:t xml:space="preserve">– </w:t>
      </w:r>
      <w:r w:rsidRPr="000822E2">
        <w:rPr>
          <w:szCs w:val="24"/>
        </w:rPr>
        <w:t xml:space="preserve">режим иммунохимиотерапии, включающий иксазомиб**, леналидомид** и дексаметазон** </w:t>
      </w:r>
    </w:p>
    <w:p w:rsidR="00D41B78" w:rsidRPr="000822E2" w:rsidRDefault="00D41B78" w:rsidP="00131E36">
      <w:pPr>
        <w:spacing w:before="0" w:after="0"/>
        <w:ind w:firstLine="709"/>
        <w:contextualSpacing/>
        <w:rPr>
          <w:rFonts w:eastAsia="Times New Roman"/>
          <w:szCs w:val="24"/>
        </w:rPr>
      </w:pPr>
      <w:r w:rsidRPr="00543291">
        <w:rPr>
          <w:rFonts w:eastAsia="Times New Roman"/>
          <w:b/>
          <w:szCs w:val="24"/>
        </w:rPr>
        <w:t>К</w:t>
      </w:r>
      <w:r w:rsidRPr="00543291">
        <w:rPr>
          <w:rFonts w:eastAsia="Times New Roman"/>
          <w:b/>
          <w:szCs w:val="24"/>
          <w:lang w:val="en-US"/>
        </w:rPr>
        <w:t>d</w:t>
      </w:r>
      <w:r w:rsidR="00DA68C1">
        <w:rPr>
          <w:rFonts w:eastAsia="Times New Roman"/>
          <w:b/>
          <w:szCs w:val="24"/>
        </w:rPr>
        <w:t xml:space="preserve"> </w:t>
      </w:r>
      <w:r w:rsidRPr="000822E2">
        <w:rPr>
          <w:rFonts w:eastAsia="Times New Roman"/>
          <w:szCs w:val="24"/>
          <w:lang w:eastAsia="ru-RU"/>
        </w:rPr>
        <w:t xml:space="preserve">– </w:t>
      </w:r>
      <w:r w:rsidRPr="000822E2">
        <w:rPr>
          <w:szCs w:val="24"/>
        </w:rPr>
        <w:t xml:space="preserve">режим иммунохимиотерапии, включающий карфилзомиб** и дексаметазон** </w:t>
      </w:r>
    </w:p>
    <w:p w:rsidR="00E23DCE" w:rsidRPr="000822E2" w:rsidRDefault="00E23DCE" w:rsidP="00131E36">
      <w:pPr>
        <w:spacing w:before="0" w:after="0"/>
        <w:ind w:firstLine="709"/>
        <w:contextualSpacing/>
        <w:rPr>
          <w:rFonts w:eastAsia="Times New Roman"/>
          <w:szCs w:val="24"/>
        </w:rPr>
      </w:pPr>
      <w:r w:rsidRPr="00543291">
        <w:rPr>
          <w:rFonts w:eastAsia="Times New Roman"/>
          <w:b/>
          <w:szCs w:val="24"/>
        </w:rPr>
        <w:t>KRd</w:t>
      </w:r>
      <w:r w:rsidR="00DA68C1">
        <w:rPr>
          <w:rFonts w:eastAsia="Times New Roman"/>
          <w:b/>
          <w:szCs w:val="24"/>
        </w:rPr>
        <w:t xml:space="preserve"> </w:t>
      </w:r>
      <w:r w:rsidRPr="000822E2">
        <w:rPr>
          <w:rFonts w:eastAsia="Times New Roman"/>
          <w:szCs w:val="24"/>
          <w:lang w:eastAsia="ru-RU"/>
        </w:rPr>
        <w:t xml:space="preserve">– </w:t>
      </w:r>
      <w:r w:rsidRPr="000822E2">
        <w:rPr>
          <w:szCs w:val="24"/>
        </w:rPr>
        <w:t xml:space="preserve">режим иммунохимиотерапии, включающий карфилзомиб**, леналидомид** и дексаметазон** </w:t>
      </w:r>
    </w:p>
    <w:p w:rsidR="00A852AC" w:rsidRPr="000822E2" w:rsidRDefault="00A852AC" w:rsidP="00131E36">
      <w:pPr>
        <w:spacing w:before="0" w:after="0"/>
        <w:ind w:firstLine="709"/>
        <w:contextualSpacing/>
        <w:rPr>
          <w:rFonts w:eastAsia="Times New Roman"/>
          <w:szCs w:val="24"/>
          <w:u w:val="single"/>
          <w:lang w:eastAsia="ru-RU"/>
        </w:rPr>
      </w:pPr>
      <w:r w:rsidRPr="00543291">
        <w:rPr>
          <w:rFonts w:eastAsia="Times New Roman"/>
          <w:b/>
          <w:szCs w:val="24"/>
          <w:lang w:eastAsia="ru-RU"/>
        </w:rPr>
        <w:lastRenderedPageBreak/>
        <w:t>MP</w:t>
      </w:r>
      <w:r w:rsidRPr="000822E2">
        <w:rPr>
          <w:rFonts w:eastAsia="Times New Roman"/>
          <w:szCs w:val="24"/>
          <w:lang w:eastAsia="ru-RU"/>
        </w:rPr>
        <w:t xml:space="preserve"> – </w:t>
      </w:r>
      <w:r w:rsidRPr="000822E2">
        <w:rPr>
          <w:szCs w:val="24"/>
        </w:rPr>
        <w:t xml:space="preserve">режим иммунохимиотерапии, включающий мелфалан** и преднизолон** </w:t>
      </w:r>
    </w:p>
    <w:p w:rsidR="00A852AC" w:rsidRPr="000822E2" w:rsidRDefault="00A852AC" w:rsidP="00131E36">
      <w:pPr>
        <w:spacing w:before="0" w:after="0"/>
        <w:ind w:firstLine="709"/>
        <w:contextualSpacing/>
        <w:rPr>
          <w:rFonts w:eastAsia="Times New Roman"/>
          <w:szCs w:val="24"/>
          <w:lang w:eastAsia="ru-RU"/>
        </w:rPr>
      </w:pPr>
      <w:r w:rsidRPr="00543291">
        <w:rPr>
          <w:rFonts w:eastAsia="Times New Roman"/>
          <w:b/>
          <w:szCs w:val="24"/>
          <w:lang w:eastAsia="ru-RU"/>
        </w:rPr>
        <w:t>MP</w:t>
      </w:r>
      <w:r w:rsidRPr="00543291">
        <w:rPr>
          <w:rFonts w:eastAsia="Times New Roman"/>
          <w:b/>
          <w:szCs w:val="24"/>
          <w:lang w:val="en-US" w:eastAsia="ru-RU"/>
        </w:rPr>
        <w:t>R</w:t>
      </w:r>
      <w:r w:rsidRPr="000822E2">
        <w:rPr>
          <w:rFonts w:eastAsia="Times New Roman"/>
          <w:szCs w:val="24"/>
          <w:lang w:eastAsia="ru-RU"/>
        </w:rPr>
        <w:t xml:space="preserve"> – </w:t>
      </w:r>
      <w:r w:rsidRPr="000822E2">
        <w:rPr>
          <w:szCs w:val="24"/>
        </w:rPr>
        <w:t xml:space="preserve">режим иммунохимиотерапии, включающий мелфалан**, леналидомид** и преднизолон** </w:t>
      </w:r>
    </w:p>
    <w:p w:rsidR="00A852AC" w:rsidRPr="000822E2" w:rsidRDefault="00A852AC" w:rsidP="00131E36">
      <w:pPr>
        <w:spacing w:before="0" w:after="0"/>
        <w:ind w:firstLine="709"/>
        <w:contextualSpacing/>
        <w:rPr>
          <w:rFonts w:eastAsia="Times New Roman"/>
          <w:szCs w:val="24"/>
          <w:lang w:eastAsia="ru-RU"/>
        </w:rPr>
      </w:pPr>
      <w:r w:rsidRPr="00543291">
        <w:rPr>
          <w:rFonts w:eastAsia="Times New Roman"/>
          <w:b/>
          <w:szCs w:val="24"/>
          <w:lang w:eastAsia="ru-RU"/>
        </w:rPr>
        <w:t>PAD</w:t>
      </w:r>
      <w:r w:rsidRPr="000822E2">
        <w:rPr>
          <w:rFonts w:eastAsia="Times New Roman"/>
          <w:szCs w:val="24"/>
          <w:lang w:eastAsia="ru-RU"/>
        </w:rPr>
        <w:t xml:space="preserve"> – </w:t>
      </w:r>
      <w:r w:rsidRPr="000822E2">
        <w:rPr>
          <w:szCs w:val="24"/>
        </w:rPr>
        <w:t xml:space="preserve">режим иммунохимиотерапии, включающий доксорубицин**, бортезомиб** и дексаметазон** </w:t>
      </w:r>
    </w:p>
    <w:p w:rsidR="00D41B78" w:rsidRPr="000822E2" w:rsidRDefault="00D41B78" w:rsidP="00131E36">
      <w:pPr>
        <w:spacing w:before="0" w:after="0"/>
        <w:ind w:firstLine="709"/>
        <w:contextualSpacing/>
        <w:rPr>
          <w:rFonts w:eastAsia="Times New Roman"/>
          <w:szCs w:val="24"/>
        </w:rPr>
      </w:pPr>
      <w:r w:rsidRPr="00543291">
        <w:rPr>
          <w:rFonts w:eastAsia="Times New Roman"/>
          <w:b/>
          <w:szCs w:val="24"/>
        </w:rPr>
        <w:t>Pom</w:t>
      </w:r>
      <w:r w:rsidR="00436DF7" w:rsidRPr="00436DF7">
        <w:rPr>
          <w:rFonts w:eastAsia="Times New Roman"/>
          <w:b/>
          <w:szCs w:val="24"/>
        </w:rPr>
        <w:t xml:space="preserve"> </w:t>
      </w:r>
      <w:r w:rsidRPr="00543291">
        <w:rPr>
          <w:rFonts w:eastAsia="Times New Roman"/>
          <w:b/>
          <w:szCs w:val="24"/>
        </w:rPr>
        <w:t>+</w:t>
      </w:r>
      <w:r w:rsidR="00436DF7" w:rsidRPr="00436DF7">
        <w:rPr>
          <w:rFonts w:eastAsia="Times New Roman"/>
          <w:b/>
          <w:szCs w:val="24"/>
        </w:rPr>
        <w:t xml:space="preserve"> </w:t>
      </w:r>
      <w:r w:rsidRPr="00543291">
        <w:rPr>
          <w:rFonts w:eastAsia="Times New Roman"/>
          <w:b/>
          <w:szCs w:val="24"/>
        </w:rPr>
        <w:t>dex</w:t>
      </w:r>
      <w:r w:rsidR="00DA68C1">
        <w:rPr>
          <w:rFonts w:eastAsia="Times New Roman"/>
          <w:b/>
          <w:szCs w:val="24"/>
        </w:rPr>
        <w:t xml:space="preserve"> </w:t>
      </w:r>
      <w:r w:rsidR="000822E2">
        <w:rPr>
          <w:rFonts w:eastAsia="Times New Roman"/>
          <w:szCs w:val="24"/>
          <w:lang w:eastAsia="ru-RU"/>
        </w:rPr>
        <w:t xml:space="preserve">– </w:t>
      </w:r>
      <w:r w:rsidRPr="000822E2">
        <w:rPr>
          <w:szCs w:val="24"/>
        </w:rPr>
        <w:t>режим иммунохимиотерапии, включающий помалидомид и дексаметазон**</w:t>
      </w:r>
    </w:p>
    <w:p w:rsidR="00B83110" w:rsidRPr="000822E2" w:rsidRDefault="00B83110" w:rsidP="00131E36">
      <w:pPr>
        <w:spacing w:before="0" w:after="0"/>
        <w:ind w:firstLine="709"/>
        <w:contextualSpacing/>
        <w:rPr>
          <w:rFonts w:eastAsia="Times New Roman"/>
          <w:szCs w:val="24"/>
        </w:rPr>
      </w:pPr>
      <w:r w:rsidRPr="00543291">
        <w:rPr>
          <w:rFonts w:eastAsia="Times New Roman"/>
          <w:b/>
          <w:szCs w:val="24"/>
        </w:rPr>
        <w:t>RAD</w:t>
      </w:r>
      <w:r w:rsidR="00DA68C1">
        <w:rPr>
          <w:rFonts w:eastAsia="Times New Roman"/>
          <w:b/>
          <w:szCs w:val="24"/>
        </w:rPr>
        <w:t xml:space="preserve"> </w:t>
      </w:r>
      <w:r w:rsidRPr="000822E2">
        <w:rPr>
          <w:rFonts w:eastAsia="Times New Roman"/>
          <w:szCs w:val="24"/>
          <w:lang w:eastAsia="ru-RU"/>
        </w:rPr>
        <w:t xml:space="preserve">– </w:t>
      </w:r>
      <w:r w:rsidRPr="000822E2">
        <w:rPr>
          <w:szCs w:val="24"/>
        </w:rPr>
        <w:t xml:space="preserve">режим иммунохимиотерапии, включающий леналидомид**, доксорубицин** и дексаметазон** </w:t>
      </w:r>
    </w:p>
    <w:p w:rsidR="00B83110" w:rsidRPr="000822E2" w:rsidRDefault="00B83110" w:rsidP="00131E36">
      <w:pPr>
        <w:spacing w:before="0" w:after="0"/>
        <w:ind w:firstLine="709"/>
        <w:contextualSpacing/>
        <w:rPr>
          <w:rFonts w:eastAsia="Times New Roman"/>
          <w:szCs w:val="24"/>
        </w:rPr>
      </w:pPr>
      <w:r w:rsidRPr="00543291">
        <w:rPr>
          <w:rFonts w:eastAsia="Times New Roman"/>
          <w:b/>
          <w:szCs w:val="24"/>
        </w:rPr>
        <w:t>RCD</w:t>
      </w:r>
      <w:r w:rsidR="00DA68C1">
        <w:rPr>
          <w:rFonts w:eastAsia="Times New Roman"/>
          <w:b/>
          <w:szCs w:val="24"/>
        </w:rPr>
        <w:t xml:space="preserve"> </w:t>
      </w:r>
      <w:r w:rsidRPr="000822E2">
        <w:rPr>
          <w:rFonts w:eastAsia="Times New Roman"/>
          <w:szCs w:val="24"/>
          <w:lang w:eastAsia="ru-RU"/>
        </w:rPr>
        <w:t xml:space="preserve">– </w:t>
      </w:r>
      <w:r w:rsidRPr="000822E2">
        <w:rPr>
          <w:szCs w:val="24"/>
        </w:rPr>
        <w:t xml:space="preserve">режим иммунохимиотерапии, включающий леналидомид**, циклофосфамид** и дексаметазон** </w:t>
      </w:r>
    </w:p>
    <w:p w:rsidR="00B83110" w:rsidRPr="000822E2" w:rsidRDefault="00B83110" w:rsidP="00131E36">
      <w:pPr>
        <w:spacing w:before="0" w:after="0"/>
        <w:ind w:firstLine="709"/>
        <w:contextualSpacing/>
        <w:rPr>
          <w:rFonts w:eastAsia="Times New Roman"/>
          <w:szCs w:val="24"/>
        </w:rPr>
      </w:pPr>
      <w:r w:rsidRPr="00543291">
        <w:rPr>
          <w:rFonts w:eastAsia="Times New Roman"/>
          <w:b/>
          <w:szCs w:val="24"/>
        </w:rPr>
        <w:t>RCP</w:t>
      </w:r>
      <w:r w:rsidR="00DA68C1">
        <w:rPr>
          <w:rFonts w:eastAsia="Times New Roman"/>
          <w:b/>
          <w:szCs w:val="24"/>
        </w:rPr>
        <w:t xml:space="preserve"> </w:t>
      </w:r>
      <w:r w:rsidR="000822E2">
        <w:rPr>
          <w:rFonts w:eastAsia="Times New Roman"/>
          <w:szCs w:val="24"/>
          <w:lang w:eastAsia="ru-RU"/>
        </w:rPr>
        <w:t xml:space="preserve">– </w:t>
      </w:r>
      <w:r w:rsidRPr="000822E2">
        <w:rPr>
          <w:szCs w:val="24"/>
        </w:rPr>
        <w:t xml:space="preserve">режим иммунохимиотерапии, включающий ленадидомид**, циклофосфамид** и преднизолон** </w:t>
      </w:r>
    </w:p>
    <w:p w:rsidR="00A852AC" w:rsidRPr="000822E2" w:rsidRDefault="00A852AC" w:rsidP="00131E36">
      <w:pPr>
        <w:spacing w:before="0" w:after="0"/>
        <w:ind w:firstLine="709"/>
        <w:contextualSpacing/>
        <w:rPr>
          <w:rFonts w:eastAsia="Times New Roman"/>
          <w:szCs w:val="24"/>
        </w:rPr>
      </w:pPr>
      <w:r w:rsidRPr="00543291">
        <w:rPr>
          <w:rFonts w:eastAsia="Times New Roman"/>
          <w:b/>
          <w:szCs w:val="24"/>
        </w:rPr>
        <w:t>Rd</w:t>
      </w:r>
      <w:r w:rsidR="00DA68C1">
        <w:rPr>
          <w:rFonts w:eastAsia="Times New Roman"/>
          <w:b/>
          <w:szCs w:val="24"/>
        </w:rPr>
        <w:t xml:space="preserve"> </w:t>
      </w:r>
      <w:r w:rsidRPr="000822E2">
        <w:rPr>
          <w:rFonts w:eastAsia="Times New Roman"/>
          <w:szCs w:val="24"/>
          <w:lang w:eastAsia="ru-RU"/>
        </w:rPr>
        <w:t xml:space="preserve">– </w:t>
      </w:r>
      <w:r w:rsidRPr="000822E2">
        <w:rPr>
          <w:szCs w:val="24"/>
        </w:rPr>
        <w:t xml:space="preserve">режим иммунохимиотерапии, включающий леналидомид** и дексаметазон** </w:t>
      </w:r>
    </w:p>
    <w:p w:rsidR="00B83110" w:rsidRPr="000822E2" w:rsidRDefault="00B83110" w:rsidP="00131E36">
      <w:pPr>
        <w:spacing w:before="0" w:after="0"/>
        <w:ind w:firstLine="709"/>
        <w:contextualSpacing/>
        <w:rPr>
          <w:rFonts w:eastAsia="Times New Roman"/>
          <w:szCs w:val="24"/>
          <w:lang w:eastAsia="ru-RU"/>
        </w:rPr>
      </w:pPr>
      <w:r w:rsidRPr="00543291">
        <w:rPr>
          <w:rFonts w:eastAsia="Times New Roman"/>
          <w:b/>
          <w:szCs w:val="24"/>
          <w:lang w:eastAsia="ru-RU"/>
        </w:rPr>
        <w:t>RD</w:t>
      </w:r>
      <w:r w:rsidRPr="000822E2">
        <w:rPr>
          <w:rFonts w:eastAsia="Times New Roman"/>
          <w:szCs w:val="24"/>
          <w:lang w:eastAsia="ru-RU"/>
        </w:rPr>
        <w:t xml:space="preserve"> – </w:t>
      </w:r>
      <w:r w:rsidRPr="000822E2">
        <w:rPr>
          <w:szCs w:val="24"/>
        </w:rPr>
        <w:t xml:space="preserve">режим иммунохимиотерапии, включающий леналидомид** и дексаметазон** </w:t>
      </w:r>
    </w:p>
    <w:p w:rsidR="006A749A" w:rsidRPr="000822E2" w:rsidRDefault="006A749A" w:rsidP="00131E36">
      <w:pPr>
        <w:spacing w:before="0" w:after="0"/>
        <w:ind w:firstLine="709"/>
        <w:contextualSpacing/>
        <w:rPr>
          <w:szCs w:val="24"/>
        </w:rPr>
      </w:pPr>
      <w:r w:rsidRPr="00543291">
        <w:rPr>
          <w:b/>
          <w:szCs w:val="24"/>
        </w:rPr>
        <w:t>R-ISS</w:t>
      </w:r>
      <w:r w:rsidRPr="000822E2">
        <w:rPr>
          <w:szCs w:val="24"/>
        </w:rPr>
        <w:t xml:space="preserve"> </w:t>
      </w:r>
      <w:r w:rsidR="00DA68C1">
        <w:rPr>
          <w:szCs w:val="24"/>
        </w:rPr>
        <w:t>–</w:t>
      </w:r>
      <w:r w:rsidRPr="000822E2">
        <w:rPr>
          <w:szCs w:val="24"/>
        </w:rPr>
        <w:t xml:space="preserve"> пересмотренная (revised) международная система стадирования</w:t>
      </w:r>
    </w:p>
    <w:p w:rsidR="009D5CFE" w:rsidRPr="000822E2" w:rsidRDefault="009D5CFE" w:rsidP="00131E36">
      <w:pPr>
        <w:spacing w:before="0" w:after="0"/>
        <w:ind w:firstLine="709"/>
        <w:contextualSpacing/>
        <w:rPr>
          <w:szCs w:val="24"/>
        </w:rPr>
      </w:pPr>
      <w:r w:rsidRPr="00543291">
        <w:rPr>
          <w:rFonts w:eastAsia="Times New Roman"/>
          <w:b/>
          <w:szCs w:val="24"/>
          <w:lang w:eastAsia="ru-RU"/>
        </w:rPr>
        <w:t>VBAP</w:t>
      </w:r>
      <w:r w:rsidRPr="000822E2">
        <w:rPr>
          <w:rFonts w:eastAsia="Times New Roman"/>
          <w:szCs w:val="24"/>
          <w:lang w:eastAsia="ru-RU"/>
        </w:rPr>
        <w:t xml:space="preserve"> – </w:t>
      </w:r>
      <w:r w:rsidRPr="000822E2">
        <w:rPr>
          <w:szCs w:val="24"/>
        </w:rPr>
        <w:t xml:space="preserve">режим иммунохимиотерапии, включающий винкристин**, кармустин**, доксорубицин** и преднизолон** </w:t>
      </w:r>
    </w:p>
    <w:p w:rsidR="00524AC8" w:rsidRPr="000822E2" w:rsidRDefault="009D5CFE" w:rsidP="00131E36">
      <w:pPr>
        <w:spacing w:before="0" w:after="0"/>
        <w:ind w:firstLine="709"/>
        <w:contextualSpacing/>
        <w:rPr>
          <w:szCs w:val="24"/>
        </w:rPr>
      </w:pPr>
      <w:r w:rsidRPr="00543291">
        <w:rPr>
          <w:rFonts w:eastAsia="Times New Roman"/>
          <w:b/>
          <w:szCs w:val="24"/>
          <w:lang w:eastAsia="ru-RU"/>
        </w:rPr>
        <w:t>VBMCP</w:t>
      </w:r>
      <w:r w:rsidRPr="000822E2">
        <w:rPr>
          <w:rFonts w:eastAsia="Times New Roman"/>
          <w:szCs w:val="24"/>
          <w:lang w:eastAsia="ru-RU"/>
        </w:rPr>
        <w:t xml:space="preserve"> (M2) – </w:t>
      </w:r>
      <w:r w:rsidRPr="000822E2">
        <w:rPr>
          <w:szCs w:val="24"/>
        </w:rPr>
        <w:t xml:space="preserve">режим иммунохимиотерапии, включающий винкристин**, кармустин**, мелфалан**, циклофосфамид** и преднизолон** </w:t>
      </w:r>
    </w:p>
    <w:p w:rsidR="004A47DE" w:rsidRPr="000822E2" w:rsidRDefault="004A47DE" w:rsidP="00131E36">
      <w:pPr>
        <w:spacing w:before="0" w:after="0"/>
        <w:ind w:firstLine="709"/>
        <w:contextualSpacing/>
        <w:rPr>
          <w:rFonts w:eastAsia="Times New Roman"/>
          <w:szCs w:val="24"/>
          <w:lang w:eastAsia="ru-RU"/>
        </w:rPr>
      </w:pPr>
      <w:r w:rsidRPr="00543291">
        <w:rPr>
          <w:rFonts w:eastAsia="Times New Roman"/>
          <w:b/>
          <w:szCs w:val="24"/>
          <w:lang w:eastAsia="ru-RU"/>
        </w:rPr>
        <w:t>VCD</w:t>
      </w:r>
      <w:r w:rsidRPr="000822E2">
        <w:rPr>
          <w:rFonts w:eastAsia="Times New Roman"/>
          <w:szCs w:val="24"/>
          <w:lang w:eastAsia="ru-RU"/>
        </w:rPr>
        <w:t xml:space="preserve"> – </w:t>
      </w:r>
      <w:r w:rsidRPr="000822E2">
        <w:rPr>
          <w:szCs w:val="24"/>
        </w:rPr>
        <w:t xml:space="preserve">режим иммунохимиотерапии, включающий циклофосфамид**, бортезомиб** и дексаметазон** </w:t>
      </w:r>
    </w:p>
    <w:p w:rsidR="00A852AC" w:rsidRPr="000822E2" w:rsidRDefault="00A852AC" w:rsidP="00131E36">
      <w:pPr>
        <w:spacing w:before="0" w:after="0"/>
        <w:ind w:firstLine="709"/>
        <w:contextualSpacing/>
        <w:rPr>
          <w:rFonts w:eastAsia="Times New Roman"/>
          <w:szCs w:val="24"/>
          <w:lang w:eastAsia="ru-RU"/>
        </w:rPr>
      </w:pPr>
      <w:r w:rsidRPr="00543291">
        <w:rPr>
          <w:rFonts w:eastAsia="Times New Roman"/>
          <w:b/>
          <w:szCs w:val="24"/>
          <w:lang w:eastAsia="ru-RU"/>
        </w:rPr>
        <w:t>VCP</w:t>
      </w:r>
      <w:r w:rsidRPr="000822E2">
        <w:rPr>
          <w:rFonts w:eastAsia="Times New Roman"/>
          <w:szCs w:val="24"/>
          <w:lang w:eastAsia="ru-RU"/>
        </w:rPr>
        <w:t xml:space="preserve"> – </w:t>
      </w:r>
      <w:r w:rsidRPr="000822E2">
        <w:rPr>
          <w:szCs w:val="24"/>
        </w:rPr>
        <w:t xml:space="preserve">режим иммунохимиотерапии, включающий бортезомиб**, циклофосфамид** и преднизолон** </w:t>
      </w:r>
    </w:p>
    <w:p w:rsidR="004A47DE" w:rsidRPr="000822E2" w:rsidRDefault="004A47DE" w:rsidP="00131E36">
      <w:pPr>
        <w:spacing w:before="0" w:after="0"/>
        <w:ind w:firstLine="709"/>
        <w:contextualSpacing/>
        <w:rPr>
          <w:rFonts w:eastAsia="Times New Roman"/>
          <w:szCs w:val="24"/>
          <w:lang w:eastAsia="ru-RU"/>
        </w:rPr>
      </w:pPr>
      <w:r w:rsidRPr="00543291">
        <w:rPr>
          <w:rFonts w:eastAsia="Times New Roman"/>
          <w:b/>
          <w:szCs w:val="24"/>
          <w:lang w:eastAsia="ru-RU"/>
        </w:rPr>
        <w:t>VD</w:t>
      </w:r>
      <w:r w:rsidRPr="000822E2">
        <w:rPr>
          <w:rFonts w:eastAsia="Times New Roman"/>
          <w:szCs w:val="24"/>
          <w:lang w:eastAsia="ru-RU"/>
        </w:rPr>
        <w:t xml:space="preserve"> – </w:t>
      </w:r>
      <w:r w:rsidRPr="000822E2">
        <w:rPr>
          <w:szCs w:val="24"/>
        </w:rPr>
        <w:t xml:space="preserve">режим иммунохимиотерапии, включающий бортезомиб** и дексаметазон** </w:t>
      </w:r>
    </w:p>
    <w:p w:rsidR="00524AC8" w:rsidRPr="000822E2" w:rsidRDefault="00524AC8" w:rsidP="00131E36">
      <w:pPr>
        <w:spacing w:before="0" w:after="0"/>
        <w:ind w:firstLine="709"/>
        <w:contextualSpacing/>
        <w:rPr>
          <w:szCs w:val="24"/>
        </w:rPr>
      </w:pPr>
      <w:r w:rsidRPr="00543291">
        <w:rPr>
          <w:rFonts w:eastAsia="Times New Roman"/>
          <w:b/>
          <w:szCs w:val="24"/>
          <w:lang w:eastAsia="ru-RU"/>
        </w:rPr>
        <w:t>VD-PACE</w:t>
      </w:r>
      <w:r w:rsidRPr="000822E2">
        <w:rPr>
          <w:rFonts w:eastAsia="Times New Roman"/>
          <w:szCs w:val="24"/>
          <w:lang w:eastAsia="ru-RU"/>
        </w:rPr>
        <w:t xml:space="preserve"> – </w:t>
      </w:r>
      <w:r w:rsidRPr="000822E2">
        <w:rPr>
          <w:szCs w:val="24"/>
        </w:rPr>
        <w:t xml:space="preserve">режим иммунохимиотерапии, включающий бортезомиб**, </w:t>
      </w:r>
      <w:r w:rsidR="001A7F20">
        <w:rPr>
          <w:szCs w:val="24"/>
        </w:rPr>
        <w:t>#</w:t>
      </w:r>
      <w:r w:rsidRPr="000822E2">
        <w:rPr>
          <w:szCs w:val="24"/>
        </w:rPr>
        <w:t xml:space="preserve">цисплатин**, доксорубицин**, циклофосфамид** и </w:t>
      </w:r>
      <w:r w:rsidR="00FE3314" w:rsidRPr="00FE3314">
        <w:rPr>
          <w:szCs w:val="24"/>
        </w:rPr>
        <w:t>#</w:t>
      </w:r>
      <w:r w:rsidRPr="000822E2">
        <w:rPr>
          <w:szCs w:val="24"/>
        </w:rPr>
        <w:t xml:space="preserve">этопозид** </w:t>
      </w:r>
    </w:p>
    <w:p w:rsidR="004A47DE" w:rsidRPr="000822E2" w:rsidRDefault="004A47DE" w:rsidP="00131E36">
      <w:pPr>
        <w:spacing w:before="0" w:after="0"/>
        <w:ind w:firstLine="709"/>
        <w:contextualSpacing/>
        <w:rPr>
          <w:rFonts w:eastAsia="Times New Roman"/>
          <w:szCs w:val="24"/>
          <w:lang w:eastAsia="ru-RU"/>
        </w:rPr>
      </w:pPr>
      <w:r w:rsidRPr="00543291">
        <w:rPr>
          <w:rFonts w:eastAsia="Times New Roman"/>
          <w:b/>
          <w:szCs w:val="24"/>
          <w:lang w:eastAsia="ru-RU"/>
        </w:rPr>
        <w:t>Vel</w:t>
      </w:r>
      <w:r w:rsidR="00436DF7" w:rsidRPr="00436DF7">
        <w:rPr>
          <w:rFonts w:eastAsia="Times New Roman"/>
          <w:b/>
          <w:szCs w:val="24"/>
          <w:lang w:eastAsia="ru-RU"/>
        </w:rPr>
        <w:t xml:space="preserve"> </w:t>
      </w:r>
      <w:r w:rsidRPr="00543291">
        <w:rPr>
          <w:rFonts w:eastAsia="Times New Roman"/>
          <w:b/>
          <w:szCs w:val="24"/>
          <w:lang w:eastAsia="ru-RU"/>
        </w:rPr>
        <w:t>+</w:t>
      </w:r>
      <w:r w:rsidR="00436DF7" w:rsidRPr="00436DF7">
        <w:rPr>
          <w:rFonts w:eastAsia="Times New Roman"/>
          <w:b/>
          <w:szCs w:val="24"/>
          <w:lang w:eastAsia="ru-RU"/>
        </w:rPr>
        <w:t xml:space="preserve"> </w:t>
      </w:r>
      <w:r w:rsidRPr="00543291">
        <w:rPr>
          <w:rFonts w:eastAsia="Times New Roman"/>
          <w:b/>
          <w:szCs w:val="24"/>
          <w:lang w:eastAsia="ru-RU"/>
        </w:rPr>
        <w:t>PLD</w:t>
      </w:r>
      <w:r w:rsidRPr="000822E2">
        <w:rPr>
          <w:rFonts w:eastAsia="Times New Roman"/>
          <w:szCs w:val="24"/>
          <w:lang w:eastAsia="ru-RU"/>
        </w:rPr>
        <w:t xml:space="preserve"> – </w:t>
      </w:r>
      <w:r w:rsidRPr="000822E2">
        <w:rPr>
          <w:szCs w:val="24"/>
        </w:rPr>
        <w:t>режим иммунохимиотерапии, включающий бортезомиб** и пегилированный</w:t>
      </w:r>
      <w:r w:rsidR="00E71814">
        <w:rPr>
          <w:szCs w:val="24"/>
        </w:rPr>
        <w:t xml:space="preserve"> </w:t>
      </w:r>
      <w:r w:rsidRPr="000822E2">
        <w:rPr>
          <w:szCs w:val="24"/>
        </w:rPr>
        <w:t>липосомальный</w:t>
      </w:r>
      <w:r w:rsidR="00E71814">
        <w:rPr>
          <w:szCs w:val="24"/>
        </w:rPr>
        <w:t xml:space="preserve"> </w:t>
      </w:r>
      <w:r w:rsidRPr="000822E2">
        <w:rPr>
          <w:szCs w:val="24"/>
        </w:rPr>
        <w:t xml:space="preserve">доксорубицин** </w:t>
      </w:r>
    </w:p>
    <w:p w:rsidR="009D5CFE" w:rsidRPr="000822E2" w:rsidRDefault="009D5CFE" w:rsidP="00131E36">
      <w:pPr>
        <w:spacing w:before="0" w:after="0"/>
        <w:ind w:firstLine="709"/>
        <w:contextualSpacing/>
        <w:rPr>
          <w:rFonts w:eastAsia="Times New Roman"/>
          <w:szCs w:val="24"/>
          <w:lang w:eastAsia="ru-RU"/>
        </w:rPr>
      </w:pPr>
      <w:r w:rsidRPr="00543291">
        <w:rPr>
          <w:rFonts w:eastAsia="Times New Roman"/>
          <w:b/>
          <w:szCs w:val="24"/>
          <w:lang w:eastAsia="ru-RU"/>
        </w:rPr>
        <w:t>VMCP</w:t>
      </w:r>
      <w:r w:rsidRPr="000822E2">
        <w:rPr>
          <w:rFonts w:eastAsia="Times New Roman"/>
          <w:szCs w:val="24"/>
          <w:lang w:eastAsia="ru-RU"/>
        </w:rPr>
        <w:t xml:space="preserve"> – </w:t>
      </w:r>
      <w:r w:rsidRPr="000822E2">
        <w:rPr>
          <w:szCs w:val="24"/>
        </w:rPr>
        <w:t xml:space="preserve">режим иммунохимиотерапии, включающий винкристин**, мелфалан**, циклофосфамид** и преднизолон** </w:t>
      </w:r>
    </w:p>
    <w:p w:rsidR="0004377D" w:rsidRPr="000822E2" w:rsidRDefault="0004377D" w:rsidP="00131E36">
      <w:pPr>
        <w:spacing w:before="0" w:after="0"/>
        <w:ind w:firstLine="709"/>
        <w:contextualSpacing/>
        <w:rPr>
          <w:rFonts w:eastAsia="Times New Roman"/>
          <w:szCs w:val="24"/>
          <w:lang w:eastAsia="ru-RU"/>
        </w:rPr>
      </w:pPr>
      <w:r w:rsidRPr="00543291">
        <w:rPr>
          <w:rFonts w:eastAsia="Times New Roman"/>
          <w:b/>
          <w:szCs w:val="24"/>
          <w:lang w:eastAsia="ru-RU"/>
        </w:rPr>
        <w:t>VMP</w:t>
      </w:r>
      <w:r w:rsidRPr="000822E2">
        <w:rPr>
          <w:rFonts w:eastAsia="Times New Roman"/>
          <w:szCs w:val="24"/>
          <w:lang w:eastAsia="ru-RU"/>
        </w:rPr>
        <w:t xml:space="preserve"> – </w:t>
      </w:r>
      <w:r w:rsidRPr="000822E2">
        <w:rPr>
          <w:szCs w:val="24"/>
        </w:rPr>
        <w:t xml:space="preserve">режим иммунохимиотерапии, включающий мелфалан**, бортезомиб** и преднизолон** </w:t>
      </w:r>
    </w:p>
    <w:p w:rsidR="0004377D" w:rsidRPr="000822E2" w:rsidRDefault="0004377D" w:rsidP="00131E36">
      <w:pPr>
        <w:spacing w:before="0" w:after="0"/>
        <w:ind w:firstLine="709"/>
        <w:contextualSpacing/>
        <w:rPr>
          <w:rFonts w:eastAsia="Times New Roman"/>
          <w:szCs w:val="24"/>
          <w:lang w:eastAsia="ru-RU"/>
        </w:rPr>
      </w:pPr>
      <w:r w:rsidRPr="00543291">
        <w:rPr>
          <w:rFonts w:eastAsia="Times New Roman"/>
          <w:b/>
          <w:szCs w:val="24"/>
          <w:lang w:eastAsia="ru-RU"/>
        </w:rPr>
        <w:lastRenderedPageBreak/>
        <w:t>VRD</w:t>
      </w:r>
      <w:r w:rsidR="00DA68C1">
        <w:rPr>
          <w:rFonts w:eastAsia="Times New Roman"/>
          <w:b/>
          <w:szCs w:val="24"/>
          <w:lang w:eastAsia="ru-RU"/>
        </w:rPr>
        <w:t xml:space="preserve"> </w:t>
      </w:r>
      <w:r w:rsidR="00B83110" w:rsidRPr="000822E2">
        <w:rPr>
          <w:rFonts w:eastAsia="Times New Roman"/>
          <w:szCs w:val="24"/>
          <w:lang w:eastAsia="ru-RU"/>
        </w:rPr>
        <w:t xml:space="preserve">– </w:t>
      </w:r>
      <w:r w:rsidR="00B83110" w:rsidRPr="000822E2">
        <w:rPr>
          <w:szCs w:val="24"/>
        </w:rPr>
        <w:t xml:space="preserve">режим иммунохимиотерапии, включающий леналидомид**, бортезомиб** и дексаметазон** </w:t>
      </w:r>
    </w:p>
    <w:p w:rsidR="005134F6" w:rsidRPr="000822E2" w:rsidRDefault="005134F6" w:rsidP="00131E36">
      <w:pPr>
        <w:spacing w:before="0" w:after="0"/>
        <w:ind w:firstLine="709"/>
        <w:contextualSpacing/>
        <w:rPr>
          <w:szCs w:val="24"/>
        </w:rPr>
      </w:pPr>
      <w:r w:rsidRPr="00543291">
        <w:rPr>
          <w:b/>
          <w:szCs w:val="24"/>
        </w:rPr>
        <w:t>Ауто-ТГСК</w:t>
      </w:r>
      <w:r w:rsidRPr="000822E2">
        <w:rPr>
          <w:szCs w:val="24"/>
        </w:rPr>
        <w:t xml:space="preserve"> </w:t>
      </w:r>
      <w:r w:rsidR="00DA68C1">
        <w:rPr>
          <w:szCs w:val="24"/>
        </w:rPr>
        <w:t>–</w:t>
      </w:r>
      <w:r w:rsidRPr="000822E2">
        <w:rPr>
          <w:szCs w:val="24"/>
        </w:rPr>
        <w:t xml:space="preserve"> трансплантация аутологичных гемопоэтических стволовых клеток</w:t>
      </w:r>
    </w:p>
    <w:p w:rsidR="005134F6" w:rsidRPr="000822E2" w:rsidRDefault="005134F6" w:rsidP="00131E36">
      <w:pPr>
        <w:spacing w:before="0" w:after="0"/>
        <w:ind w:firstLine="709"/>
        <w:contextualSpacing/>
        <w:rPr>
          <w:szCs w:val="24"/>
        </w:rPr>
      </w:pPr>
      <w:r w:rsidRPr="00543291">
        <w:rPr>
          <w:b/>
          <w:szCs w:val="24"/>
        </w:rPr>
        <w:t>ВБП</w:t>
      </w:r>
      <w:r w:rsidRPr="000822E2">
        <w:rPr>
          <w:szCs w:val="24"/>
        </w:rPr>
        <w:t xml:space="preserve"> </w:t>
      </w:r>
      <w:r w:rsidR="00DA68C1">
        <w:rPr>
          <w:szCs w:val="24"/>
        </w:rPr>
        <w:t>–</w:t>
      </w:r>
      <w:r w:rsidRPr="000822E2">
        <w:rPr>
          <w:szCs w:val="24"/>
        </w:rPr>
        <w:t xml:space="preserve"> выживаемость без прогрессирования</w:t>
      </w:r>
    </w:p>
    <w:p w:rsidR="005134F6" w:rsidRPr="000822E2" w:rsidRDefault="005134F6" w:rsidP="00131E36">
      <w:pPr>
        <w:spacing w:before="0" w:after="0"/>
        <w:ind w:firstLine="709"/>
        <w:contextualSpacing/>
        <w:rPr>
          <w:szCs w:val="24"/>
        </w:rPr>
      </w:pPr>
      <w:r w:rsidRPr="00543291">
        <w:rPr>
          <w:b/>
          <w:szCs w:val="24"/>
        </w:rPr>
        <w:t xml:space="preserve">ВДП </w:t>
      </w:r>
      <w:r w:rsidRPr="000822E2">
        <w:rPr>
          <w:szCs w:val="24"/>
        </w:rPr>
        <w:t>– выживаемость до прогрессии</w:t>
      </w:r>
    </w:p>
    <w:p w:rsidR="005134F6" w:rsidRDefault="005134F6" w:rsidP="00131E36">
      <w:pPr>
        <w:spacing w:before="0" w:after="0"/>
        <w:ind w:firstLine="709"/>
        <w:contextualSpacing/>
        <w:rPr>
          <w:szCs w:val="24"/>
        </w:rPr>
      </w:pPr>
      <w:r w:rsidRPr="00543291">
        <w:rPr>
          <w:b/>
          <w:szCs w:val="24"/>
        </w:rPr>
        <w:t>ВДХТ</w:t>
      </w:r>
      <w:r w:rsidRPr="000822E2">
        <w:rPr>
          <w:szCs w:val="24"/>
        </w:rPr>
        <w:t xml:space="preserve"> </w:t>
      </w:r>
      <w:r w:rsidR="00DA68C1">
        <w:rPr>
          <w:szCs w:val="24"/>
        </w:rPr>
        <w:t>–</w:t>
      </w:r>
      <w:r w:rsidRPr="000822E2">
        <w:rPr>
          <w:szCs w:val="24"/>
        </w:rPr>
        <w:t xml:space="preserve"> высокодозная химиотерапия</w:t>
      </w:r>
    </w:p>
    <w:p w:rsidR="00DA68C1" w:rsidRPr="000822E2" w:rsidRDefault="00DA68C1" w:rsidP="00131E36">
      <w:pPr>
        <w:spacing w:before="0" w:after="0"/>
        <w:ind w:firstLine="709"/>
        <w:contextualSpacing/>
        <w:rPr>
          <w:szCs w:val="24"/>
        </w:rPr>
      </w:pPr>
      <w:r>
        <w:rPr>
          <w:b/>
          <w:szCs w:val="24"/>
        </w:rPr>
        <w:t xml:space="preserve">ВОЗ </w:t>
      </w:r>
      <w:r>
        <w:rPr>
          <w:szCs w:val="24"/>
        </w:rPr>
        <w:t xml:space="preserve">– Всемирная </w:t>
      </w:r>
      <w:r w:rsidR="00AD2A68">
        <w:rPr>
          <w:szCs w:val="24"/>
        </w:rPr>
        <w:t>о</w:t>
      </w:r>
      <w:r>
        <w:rPr>
          <w:szCs w:val="24"/>
        </w:rPr>
        <w:t xml:space="preserve">рганизация </w:t>
      </w:r>
      <w:r w:rsidR="00AD2A68">
        <w:rPr>
          <w:szCs w:val="24"/>
        </w:rPr>
        <w:t>з</w:t>
      </w:r>
      <w:r>
        <w:rPr>
          <w:szCs w:val="24"/>
        </w:rPr>
        <w:t>дравоохранения</w:t>
      </w:r>
    </w:p>
    <w:p w:rsidR="005134F6" w:rsidRPr="000822E2" w:rsidRDefault="005134F6" w:rsidP="00131E36">
      <w:pPr>
        <w:spacing w:before="0" w:after="0"/>
        <w:ind w:firstLine="709"/>
        <w:contextualSpacing/>
        <w:rPr>
          <w:szCs w:val="24"/>
        </w:rPr>
      </w:pPr>
      <w:r w:rsidRPr="00543291">
        <w:rPr>
          <w:b/>
          <w:szCs w:val="24"/>
        </w:rPr>
        <w:t>Г-КСФ</w:t>
      </w:r>
      <w:r w:rsidR="00FE3314" w:rsidRPr="00FE3314">
        <w:rPr>
          <w:b/>
          <w:szCs w:val="24"/>
        </w:rPr>
        <w:t>**</w:t>
      </w:r>
      <w:r w:rsidR="00DA68C1">
        <w:rPr>
          <w:b/>
          <w:szCs w:val="24"/>
        </w:rPr>
        <w:t xml:space="preserve"> </w:t>
      </w:r>
      <w:r w:rsidR="007B54A0">
        <w:rPr>
          <w:szCs w:val="24"/>
        </w:rPr>
        <w:t>–</w:t>
      </w:r>
      <w:r w:rsidR="00DA68C1">
        <w:rPr>
          <w:szCs w:val="24"/>
        </w:rPr>
        <w:t xml:space="preserve"> </w:t>
      </w:r>
      <w:r w:rsidR="007B54A0">
        <w:rPr>
          <w:szCs w:val="24"/>
        </w:rPr>
        <w:t xml:space="preserve">рекомбинантный человеческий </w:t>
      </w:r>
      <w:r w:rsidRPr="000822E2">
        <w:rPr>
          <w:szCs w:val="24"/>
        </w:rPr>
        <w:t>гранулоцитарный колониестимулирующий фактор</w:t>
      </w:r>
    </w:p>
    <w:p w:rsidR="00DA68C1" w:rsidRDefault="005134F6" w:rsidP="00131E36">
      <w:pPr>
        <w:spacing w:before="0" w:after="0"/>
        <w:ind w:firstLine="709"/>
        <w:contextualSpacing/>
        <w:rPr>
          <w:szCs w:val="24"/>
        </w:rPr>
      </w:pPr>
      <w:r w:rsidRPr="00543291">
        <w:rPr>
          <w:b/>
          <w:szCs w:val="24"/>
        </w:rPr>
        <w:t>ГСК</w:t>
      </w:r>
      <w:r w:rsidRPr="000822E2">
        <w:rPr>
          <w:szCs w:val="24"/>
        </w:rPr>
        <w:t xml:space="preserve"> – гемопоэтические стволовые клетки </w:t>
      </w:r>
    </w:p>
    <w:p w:rsidR="006048E9" w:rsidRDefault="006048E9" w:rsidP="00131E36">
      <w:pPr>
        <w:spacing w:before="0" w:after="0"/>
        <w:ind w:firstLine="709"/>
        <w:contextualSpacing/>
        <w:rPr>
          <w:szCs w:val="24"/>
        </w:rPr>
      </w:pPr>
      <w:r w:rsidRPr="00436DF7">
        <w:rPr>
          <w:b/>
          <w:szCs w:val="24"/>
        </w:rPr>
        <w:t>КТ</w:t>
      </w:r>
      <w:r>
        <w:rPr>
          <w:szCs w:val="24"/>
        </w:rPr>
        <w:t xml:space="preserve"> – компьютерная томография</w:t>
      </w:r>
    </w:p>
    <w:p w:rsidR="0085349A" w:rsidRDefault="0085349A" w:rsidP="00131E36">
      <w:pPr>
        <w:spacing w:before="0" w:after="0"/>
        <w:ind w:firstLine="709"/>
        <w:contextualSpacing/>
        <w:rPr>
          <w:szCs w:val="24"/>
        </w:rPr>
      </w:pPr>
      <w:r w:rsidRPr="0085349A">
        <w:rPr>
          <w:b/>
          <w:szCs w:val="24"/>
        </w:rPr>
        <w:t>ЛДГ</w:t>
      </w:r>
      <w:r>
        <w:rPr>
          <w:szCs w:val="24"/>
        </w:rPr>
        <w:t xml:space="preserve"> − лактатдегидрогеназа</w:t>
      </w:r>
    </w:p>
    <w:p w:rsidR="005134F6" w:rsidRPr="000822E2" w:rsidRDefault="005134F6" w:rsidP="00131E36">
      <w:pPr>
        <w:spacing w:before="0" w:after="0"/>
        <w:ind w:firstLine="709"/>
        <w:contextualSpacing/>
        <w:rPr>
          <w:szCs w:val="24"/>
        </w:rPr>
      </w:pPr>
      <w:r w:rsidRPr="00543291">
        <w:rPr>
          <w:b/>
          <w:szCs w:val="24"/>
        </w:rPr>
        <w:t>ММ</w:t>
      </w:r>
      <w:r w:rsidRPr="000822E2">
        <w:rPr>
          <w:szCs w:val="24"/>
        </w:rPr>
        <w:t xml:space="preserve"> – множественная миелома</w:t>
      </w:r>
      <w:r w:rsidR="00FA65DC">
        <w:rPr>
          <w:szCs w:val="24"/>
        </w:rPr>
        <w:t xml:space="preserve"> </w:t>
      </w:r>
    </w:p>
    <w:p w:rsidR="005134F6" w:rsidRPr="000822E2" w:rsidRDefault="005134F6" w:rsidP="00131E36">
      <w:pPr>
        <w:spacing w:before="0" w:after="0"/>
        <w:ind w:firstLine="709"/>
        <w:contextualSpacing/>
        <w:rPr>
          <w:szCs w:val="24"/>
        </w:rPr>
      </w:pPr>
      <w:r w:rsidRPr="00543291">
        <w:rPr>
          <w:b/>
          <w:szCs w:val="24"/>
        </w:rPr>
        <w:t>МОБ</w:t>
      </w:r>
      <w:r w:rsidRPr="000822E2">
        <w:rPr>
          <w:szCs w:val="24"/>
        </w:rPr>
        <w:t xml:space="preserve"> </w:t>
      </w:r>
      <w:r w:rsidR="00DA68C1">
        <w:rPr>
          <w:szCs w:val="24"/>
        </w:rPr>
        <w:t>–</w:t>
      </w:r>
      <w:r w:rsidRPr="000822E2">
        <w:rPr>
          <w:szCs w:val="24"/>
        </w:rPr>
        <w:t xml:space="preserve"> минимальная остаточная болезнь</w:t>
      </w:r>
    </w:p>
    <w:p w:rsidR="005134F6" w:rsidRPr="000822E2" w:rsidRDefault="005134F6" w:rsidP="00131E36">
      <w:pPr>
        <w:spacing w:before="0" w:after="0"/>
        <w:ind w:firstLine="709"/>
        <w:contextualSpacing/>
        <w:rPr>
          <w:szCs w:val="24"/>
        </w:rPr>
      </w:pPr>
      <w:r w:rsidRPr="00543291">
        <w:rPr>
          <w:b/>
          <w:szCs w:val="24"/>
        </w:rPr>
        <w:t>ОВ</w:t>
      </w:r>
      <w:r w:rsidRPr="000822E2">
        <w:rPr>
          <w:szCs w:val="24"/>
        </w:rPr>
        <w:t xml:space="preserve"> </w:t>
      </w:r>
      <w:r w:rsidR="00DA68C1">
        <w:rPr>
          <w:szCs w:val="24"/>
        </w:rPr>
        <w:t>–</w:t>
      </w:r>
      <w:r w:rsidRPr="000822E2">
        <w:rPr>
          <w:szCs w:val="24"/>
        </w:rPr>
        <w:t xml:space="preserve"> общая выживаемость</w:t>
      </w:r>
    </w:p>
    <w:p w:rsidR="005134F6" w:rsidRPr="000822E2" w:rsidRDefault="005134F6" w:rsidP="00131E36">
      <w:pPr>
        <w:spacing w:before="0" w:after="0"/>
        <w:ind w:firstLine="709"/>
        <w:contextualSpacing/>
        <w:rPr>
          <w:szCs w:val="24"/>
        </w:rPr>
      </w:pPr>
      <w:r w:rsidRPr="00543291">
        <w:rPr>
          <w:b/>
          <w:szCs w:val="24"/>
        </w:rPr>
        <w:t>ОХЧР</w:t>
      </w:r>
      <w:r w:rsidRPr="000822E2">
        <w:rPr>
          <w:szCs w:val="24"/>
        </w:rPr>
        <w:t xml:space="preserve"> – очень хорошая частичная ремиссия</w:t>
      </w:r>
    </w:p>
    <w:p w:rsidR="00DA68C1" w:rsidRPr="00DA68C1" w:rsidRDefault="00DA68C1" w:rsidP="00131E36">
      <w:pPr>
        <w:spacing w:before="0" w:after="0"/>
        <w:ind w:firstLine="709"/>
        <w:contextualSpacing/>
        <w:rPr>
          <w:szCs w:val="24"/>
        </w:rPr>
      </w:pPr>
      <w:r>
        <w:rPr>
          <w:b/>
          <w:szCs w:val="24"/>
        </w:rPr>
        <w:t xml:space="preserve">ПК </w:t>
      </w:r>
      <w:r>
        <w:rPr>
          <w:szCs w:val="24"/>
        </w:rPr>
        <w:t>– плазматические клетки</w:t>
      </w:r>
    </w:p>
    <w:p w:rsidR="005134F6" w:rsidRPr="000822E2" w:rsidRDefault="005134F6" w:rsidP="00131E36">
      <w:pPr>
        <w:spacing w:before="0" w:after="0"/>
        <w:ind w:firstLine="709"/>
        <w:contextualSpacing/>
        <w:rPr>
          <w:szCs w:val="24"/>
        </w:rPr>
      </w:pPr>
      <w:r w:rsidRPr="00543291">
        <w:rPr>
          <w:b/>
          <w:szCs w:val="24"/>
        </w:rPr>
        <w:t>ПО</w:t>
      </w:r>
      <w:r w:rsidRPr="000822E2">
        <w:rPr>
          <w:szCs w:val="24"/>
        </w:rPr>
        <w:t xml:space="preserve"> – противоопухолевый ответ</w:t>
      </w:r>
    </w:p>
    <w:p w:rsidR="005134F6" w:rsidRDefault="005134F6" w:rsidP="00131E36">
      <w:pPr>
        <w:spacing w:before="0" w:after="0"/>
        <w:ind w:firstLine="709"/>
        <w:contextualSpacing/>
        <w:rPr>
          <w:szCs w:val="24"/>
        </w:rPr>
      </w:pPr>
      <w:r w:rsidRPr="00543291">
        <w:rPr>
          <w:b/>
          <w:szCs w:val="24"/>
        </w:rPr>
        <w:t>ПР</w:t>
      </w:r>
      <w:r w:rsidRPr="000822E2">
        <w:rPr>
          <w:szCs w:val="24"/>
        </w:rPr>
        <w:t xml:space="preserve"> – полная ремиссия</w:t>
      </w:r>
    </w:p>
    <w:p w:rsidR="006048E9" w:rsidRPr="000822E2" w:rsidRDefault="006048E9" w:rsidP="00131E36">
      <w:pPr>
        <w:spacing w:before="0" w:after="0"/>
        <w:ind w:firstLine="709"/>
        <w:contextualSpacing/>
        <w:rPr>
          <w:szCs w:val="24"/>
        </w:rPr>
      </w:pPr>
      <w:r w:rsidRPr="00436DF7">
        <w:rPr>
          <w:b/>
          <w:szCs w:val="24"/>
        </w:rPr>
        <w:t>ПЭТ</w:t>
      </w:r>
      <w:r>
        <w:rPr>
          <w:szCs w:val="24"/>
        </w:rPr>
        <w:t xml:space="preserve"> – позитронно-эмиссионная томография</w:t>
      </w:r>
    </w:p>
    <w:p w:rsidR="005134F6" w:rsidRPr="000822E2" w:rsidRDefault="005134F6" w:rsidP="00785610">
      <w:pPr>
        <w:spacing w:before="0" w:after="0"/>
        <w:ind w:firstLine="709"/>
        <w:contextualSpacing/>
        <w:rPr>
          <w:szCs w:val="24"/>
        </w:rPr>
      </w:pPr>
      <w:r w:rsidRPr="00543291">
        <w:rPr>
          <w:b/>
          <w:szCs w:val="24"/>
        </w:rPr>
        <w:t>СЛЦ</w:t>
      </w:r>
      <w:r w:rsidRPr="000822E2">
        <w:rPr>
          <w:szCs w:val="24"/>
        </w:rPr>
        <w:t xml:space="preserve"> – свободные легкие цепи</w:t>
      </w:r>
      <w:r w:rsidR="00FA65DC">
        <w:rPr>
          <w:szCs w:val="24"/>
        </w:rPr>
        <w:t xml:space="preserve"> </w:t>
      </w:r>
      <w:r w:rsidR="00785610">
        <w:rPr>
          <w:szCs w:val="24"/>
        </w:rPr>
        <w:t>(</w:t>
      </w:r>
      <w:r w:rsidR="00FA65DC">
        <w:rPr>
          <w:szCs w:val="24"/>
        </w:rPr>
        <w:t>иммуноглобулинов</w:t>
      </w:r>
      <w:r w:rsidR="00785610">
        <w:rPr>
          <w:szCs w:val="24"/>
        </w:rPr>
        <w:t>)</w:t>
      </w:r>
    </w:p>
    <w:p w:rsidR="004D7374" w:rsidRDefault="005134F6" w:rsidP="00131E36">
      <w:pPr>
        <w:spacing w:before="0" w:after="0"/>
        <w:ind w:firstLine="709"/>
        <w:contextualSpacing/>
        <w:rPr>
          <w:szCs w:val="24"/>
        </w:rPr>
      </w:pPr>
      <w:r w:rsidRPr="00543291">
        <w:rPr>
          <w:b/>
          <w:szCs w:val="24"/>
        </w:rPr>
        <w:t>ЧР</w:t>
      </w:r>
      <w:r w:rsidRPr="000822E2">
        <w:rPr>
          <w:szCs w:val="24"/>
        </w:rPr>
        <w:t xml:space="preserve"> – частичная ремиссия</w:t>
      </w:r>
    </w:p>
    <w:p w:rsidR="008654BE" w:rsidRPr="003E3A35" w:rsidRDefault="008654BE" w:rsidP="00E36DFA">
      <w:pPr>
        <w:spacing w:before="0" w:after="0"/>
        <w:ind w:left="709"/>
        <w:rPr>
          <w:rFonts w:eastAsia="GalsLightC"/>
          <w:szCs w:val="24"/>
        </w:rPr>
      </w:pPr>
      <w:r w:rsidRPr="003E3A35">
        <w:rPr>
          <w:rFonts w:eastAsia="GalsLightC"/>
          <w:szCs w:val="24"/>
        </w:rPr>
        <w:t>** – жизненно необходимые и важнейшие лекарственные препараты</w:t>
      </w:r>
    </w:p>
    <w:p w:rsidR="008654BE" w:rsidRPr="00C40CE5" w:rsidRDefault="008654BE" w:rsidP="00E36DFA">
      <w:pPr>
        <w:pStyle w:val="a5"/>
        <w:spacing w:before="0" w:after="0"/>
        <w:ind w:left="709"/>
        <w:rPr>
          <w:color w:val="000000"/>
        </w:rPr>
      </w:pPr>
      <w:r w:rsidRPr="0070209C">
        <w:rPr>
          <w:color w:val="000000"/>
        </w:rPr>
        <w:t># – препарат, применяющийся не в соответствии с показаниями к применению и противопоказаниями, способами применения и дозами, содержащимися в инструкции по применению лекарственного препарата (офф-лейбл)</w:t>
      </w:r>
    </w:p>
    <w:p w:rsidR="004D7374" w:rsidRDefault="004D7374" w:rsidP="00131E36">
      <w:pPr>
        <w:spacing w:before="0" w:after="0"/>
        <w:ind w:firstLine="709"/>
      </w:pPr>
    </w:p>
    <w:p w:rsidR="004D7374" w:rsidRPr="00E36DFA" w:rsidRDefault="004D7374">
      <w:pPr>
        <w:pStyle w:val="1"/>
        <w:spacing w:before="0" w:after="0"/>
      </w:pPr>
      <w:bookmarkStart w:id="4" w:name="_Toc520213122"/>
      <w:bookmarkStart w:id="5" w:name="_Toc24826799"/>
      <w:r w:rsidRPr="00E36DFA">
        <w:lastRenderedPageBreak/>
        <w:t>Термины и определения</w:t>
      </w:r>
      <w:bookmarkEnd w:id="4"/>
      <w:bookmarkEnd w:id="5"/>
    </w:p>
    <w:p w:rsidR="005134F6" w:rsidRPr="005134F6" w:rsidRDefault="005134F6" w:rsidP="00131E36">
      <w:pPr>
        <w:spacing w:before="0" w:after="0"/>
        <w:ind w:firstLine="709"/>
        <w:contextualSpacing/>
      </w:pPr>
      <w:r w:rsidRPr="00825336">
        <w:rPr>
          <w:b/>
        </w:rPr>
        <w:t>Множественная миелома</w:t>
      </w:r>
      <w:r w:rsidRPr="005134F6">
        <w:t xml:space="preserve"> – В-клеточная злокачественная опухоль, морфологическим субстратом которой являются плазматические клетки, продуцирующие моноклональный иммуноглобулин.</w:t>
      </w:r>
      <w:r w:rsidR="00FA65DC">
        <w:t xml:space="preserve"> Согласно последней версии классификации </w:t>
      </w:r>
      <w:r w:rsidR="008816EE">
        <w:t>Всемирной организации здравоохранения (</w:t>
      </w:r>
      <w:r w:rsidR="00FA65DC">
        <w:t>ВОЗ</w:t>
      </w:r>
      <w:r w:rsidR="008816EE">
        <w:t>)</w:t>
      </w:r>
      <w:r w:rsidR="00FA65DC">
        <w:t xml:space="preserve"> 2017</w:t>
      </w:r>
      <w:r w:rsidR="00DA68C1">
        <w:t> </w:t>
      </w:r>
      <w:r w:rsidR="00FA65DC">
        <w:t>г</w:t>
      </w:r>
      <w:r w:rsidR="008816EE">
        <w:t>.</w:t>
      </w:r>
      <w:r w:rsidR="00FA65DC">
        <w:t xml:space="preserve"> термин </w:t>
      </w:r>
      <w:r w:rsidR="00DA68C1">
        <w:t xml:space="preserve">«множественная миелома» </w:t>
      </w:r>
      <w:r w:rsidR="00FA65DC">
        <w:t xml:space="preserve">заменен на термин </w:t>
      </w:r>
      <w:r w:rsidR="00DA68C1">
        <w:t xml:space="preserve">«плазмоклеточная миелома» </w:t>
      </w:r>
      <w:r w:rsidR="00FA65DC">
        <w:t xml:space="preserve">– заболевание, характеризующееся мультифокальной пролиферацией неопластических плазматических клеток, ассоциированное с секрецией </w:t>
      </w:r>
      <w:r w:rsidR="002311AE">
        <w:t xml:space="preserve">моноклонального </w:t>
      </w:r>
      <w:r w:rsidR="00FA65DC">
        <w:t>иммуноглобулина</w:t>
      </w:r>
      <w:r w:rsidR="00DA68C1">
        <w:t>.</w:t>
      </w:r>
      <w:r w:rsidR="00FA65DC">
        <w:t xml:space="preserve"> </w:t>
      </w:r>
    </w:p>
    <w:p w:rsidR="005134F6" w:rsidRPr="007839D3" w:rsidRDefault="005134F6" w:rsidP="00131E36">
      <w:pPr>
        <w:spacing w:before="0" w:after="0"/>
        <w:ind w:firstLine="709"/>
        <w:contextualSpacing/>
      </w:pPr>
      <w:r w:rsidRPr="00825336">
        <w:rPr>
          <w:b/>
        </w:rPr>
        <w:t>Плазматическая клетка</w:t>
      </w:r>
      <w:r w:rsidRPr="005134F6">
        <w:t xml:space="preserve"> – конечный этап дифференцировки В-лимфоцита. Функциональная активность – участие в формировании гуморального иммунитета, </w:t>
      </w:r>
      <w:r w:rsidRPr="007839D3">
        <w:t>продукция антител.</w:t>
      </w:r>
    </w:p>
    <w:p w:rsidR="005134F6" w:rsidRDefault="005134F6" w:rsidP="00131E36">
      <w:pPr>
        <w:spacing w:before="0" w:after="0"/>
        <w:ind w:firstLine="709"/>
        <w:contextualSpacing/>
      </w:pPr>
      <w:r w:rsidRPr="007839D3">
        <w:rPr>
          <w:b/>
        </w:rPr>
        <w:t>М</w:t>
      </w:r>
      <w:r w:rsidR="00825336" w:rsidRPr="007839D3">
        <w:rPr>
          <w:b/>
        </w:rPr>
        <w:t>о</w:t>
      </w:r>
      <w:r w:rsidR="00EF56F9" w:rsidRPr="007839D3">
        <w:rPr>
          <w:b/>
        </w:rPr>
        <w:t>нок</w:t>
      </w:r>
      <w:r w:rsidRPr="007839D3">
        <w:rPr>
          <w:b/>
        </w:rPr>
        <w:t>лональный иммуноглобулин</w:t>
      </w:r>
      <w:r w:rsidRPr="007839D3">
        <w:t xml:space="preserve"> – иммуноглобулин одного класса</w:t>
      </w:r>
      <w:r w:rsidR="00E717D4">
        <w:t xml:space="preserve">, </w:t>
      </w:r>
      <w:r w:rsidR="00F96C93">
        <w:t xml:space="preserve">который </w:t>
      </w:r>
      <w:r w:rsidRPr="007839D3">
        <w:t>синтезиру</w:t>
      </w:r>
      <w:r w:rsidR="00F96C93">
        <w:t>ется</w:t>
      </w:r>
      <w:r w:rsidRPr="007839D3">
        <w:t xml:space="preserve"> в избыточном количестве</w:t>
      </w:r>
      <w:r w:rsidRPr="005134F6">
        <w:t xml:space="preserve"> опухолевой плазматической клеткой. Структура иммуноглобулина при этом не нарушена, но синтез иммуноглобулина или отдельных компонентов превосходит уровень физиологической потребности.</w:t>
      </w:r>
    </w:p>
    <w:p w:rsidR="005134F6" w:rsidRPr="005134F6" w:rsidRDefault="00FA65DC" w:rsidP="00131E36">
      <w:pPr>
        <w:spacing w:before="0" w:after="0"/>
        <w:ind w:firstLine="709"/>
        <w:contextualSpacing/>
      </w:pPr>
      <w:r>
        <w:rPr>
          <w:b/>
          <w:szCs w:val="24"/>
        </w:rPr>
        <w:t xml:space="preserve">Моноклональная гаммапатия </w:t>
      </w:r>
      <w:r>
        <w:rPr>
          <w:szCs w:val="24"/>
        </w:rPr>
        <w:t>– состояние, характеризующиеся присутствием иммуноглобулина одного класса</w:t>
      </w:r>
      <w:r w:rsidR="002311AE">
        <w:rPr>
          <w:szCs w:val="24"/>
        </w:rPr>
        <w:t>.</w:t>
      </w:r>
      <w:r w:rsidR="00D50877">
        <w:rPr>
          <w:szCs w:val="24"/>
        </w:rPr>
        <w:t xml:space="preserve"> </w:t>
      </w:r>
      <w:r w:rsidR="005134F6" w:rsidRPr="00825336">
        <w:rPr>
          <w:b/>
        </w:rPr>
        <w:t>М-градиент</w:t>
      </w:r>
      <w:r w:rsidR="005134F6" w:rsidRPr="005134F6">
        <w:t xml:space="preserve"> – узкая, четко очерченная полоса на электрофореграмме, которую образуют моноклональные иммуноглобулины.</w:t>
      </w:r>
    </w:p>
    <w:p w:rsidR="005134F6" w:rsidRPr="005134F6" w:rsidRDefault="005134F6" w:rsidP="00131E36">
      <w:pPr>
        <w:spacing w:before="0" w:after="0"/>
        <w:ind w:firstLine="709"/>
        <w:contextualSpacing/>
      </w:pPr>
      <w:r w:rsidRPr="00825336">
        <w:rPr>
          <w:b/>
        </w:rPr>
        <w:t>Ремиссия</w:t>
      </w:r>
      <w:r w:rsidR="00D50877">
        <w:rPr>
          <w:b/>
        </w:rPr>
        <w:t xml:space="preserve"> </w:t>
      </w:r>
      <w:r w:rsidR="00825336">
        <w:t>–</w:t>
      </w:r>
      <w:r w:rsidRPr="005134F6">
        <w:t xml:space="preserve"> период течения заболевания, который характеризуется значительным ослаблением или полным исчезновением симптомов заболевания, в том числе по данным выполненных лабораторных и инструментальных методов исследования.</w:t>
      </w:r>
    </w:p>
    <w:p w:rsidR="005134F6" w:rsidRPr="005134F6" w:rsidRDefault="005134F6" w:rsidP="00131E36">
      <w:pPr>
        <w:spacing w:before="0" w:after="0"/>
        <w:ind w:firstLine="709"/>
        <w:contextualSpacing/>
      </w:pPr>
      <w:r w:rsidRPr="00825336">
        <w:rPr>
          <w:b/>
        </w:rPr>
        <w:t>Рецидив</w:t>
      </w:r>
      <w:r w:rsidRPr="005134F6">
        <w:t xml:space="preserve"> – возврат клиники заболевания, в том числе и по данным лабораторных и инструментальных методов исследований.</w:t>
      </w:r>
    </w:p>
    <w:p w:rsidR="005134F6" w:rsidRPr="005134F6" w:rsidRDefault="005134F6" w:rsidP="00131E36">
      <w:pPr>
        <w:spacing w:before="0" w:after="0"/>
        <w:ind w:firstLine="709"/>
        <w:contextualSpacing/>
      </w:pPr>
      <w:r w:rsidRPr="00825336">
        <w:rPr>
          <w:b/>
        </w:rPr>
        <w:t>Общая выживаемость</w:t>
      </w:r>
      <w:r w:rsidR="00A47DEE">
        <w:rPr>
          <w:b/>
        </w:rPr>
        <w:t xml:space="preserve"> </w:t>
      </w:r>
      <w:r w:rsidR="00825336">
        <w:t>–</w:t>
      </w:r>
      <w:r w:rsidRPr="005134F6">
        <w:t xml:space="preserve"> рассчитывается от даты начала лечения до смерти от любой причины или</w:t>
      </w:r>
      <w:r w:rsidR="006E7B15">
        <w:t xml:space="preserve"> до даты последней явки пациента</w:t>
      </w:r>
      <w:r w:rsidRPr="005134F6">
        <w:t>.</w:t>
      </w:r>
    </w:p>
    <w:p w:rsidR="005134F6" w:rsidRPr="005134F6" w:rsidRDefault="005134F6" w:rsidP="00131E36">
      <w:pPr>
        <w:spacing w:before="0" w:after="0"/>
        <w:ind w:firstLine="709"/>
        <w:contextualSpacing/>
      </w:pPr>
      <w:r w:rsidRPr="00825336">
        <w:rPr>
          <w:b/>
        </w:rPr>
        <w:t>Выживаемость без прогрессирования</w:t>
      </w:r>
      <w:r w:rsidR="00937770">
        <w:rPr>
          <w:b/>
        </w:rPr>
        <w:t xml:space="preserve"> </w:t>
      </w:r>
      <w:r w:rsidR="00A56CC2">
        <w:t>–</w:t>
      </w:r>
      <w:r w:rsidRPr="005134F6">
        <w:t xml:space="preserve"> рассчитывается от даты начала лечения до прогрессирования болезни или смерти от любой причины.</w:t>
      </w:r>
    </w:p>
    <w:p w:rsidR="004D7374" w:rsidRDefault="004D7374" w:rsidP="00131E36">
      <w:pPr>
        <w:spacing w:before="0" w:after="0"/>
        <w:ind w:firstLine="709"/>
      </w:pPr>
    </w:p>
    <w:p w:rsidR="00B11FF3" w:rsidRDefault="00B11FF3" w:rsidP="00131E36">
      <w:pPr>
        <w:spacing w:before="0" w:after="0"/>
        <w:ind w:firstLine="709"/>
      </w:pPr>
    </w:p>
    <w:p w:rsidR="00B11FF3" w:rsidRDefault="00B11FF3" w:rsidP="00131E36">
      <w:pPr>
        <w:spacing w:before="0" w:after="0"/>
        <w:ind w:firstLine="709"/>
      </w:pPr>
    </w:p>
    <w:p w:rsidR="00B11FF3" w:rsidRDefault="00B11FF3" w:rsidP="00131E36">
      <w:pPr>
        <w:spacing w:before="0" w:after="0"/>
        <w:ind w:firstLine="709"/>
      </w:pPr>
    </w:p>
    <w:p w:rsidR="00B11FF3" w:rsidRDefault="00B11FF3" w:rsidP="00131E36">
      <w:pPr>
        <w:spacing w:before="0" w:after="0"/>
        <w:ind w:firstLine="709"/>
      </w:pPr>
    </w:p>
    <w:p w:rsidR="004D7374" w:rsidRPr="00E36DFA" w:rsidRDefault="004D7374">
      <w:pPr>
        <w:pStyle w:val="1"/>
        <w:spacing w:before="0" w:after="0"/>
      </w:pPr>
      <w:bookmarkStart w:id="6" w:name="_Toc520213123"/>
      <w:bookmarkStart w:id="7" w:name="_Toc24826800"/>
      <w:r w:rsidRPr="00E36DFA">
        <w:lastRenderedPageBreak/>
        <w:t>1. Краткая информация</w:t>
      </w:r>
      <w:bookmarkEnd w:id="6"/>
      <w:r w:rsidR="00131E36" w:rsidRPr="00E36DFA">
        <w:t xml:space="preserve"> по заболеванию или состоянию </w:t>
      </w:r>
      <w:r w:rsidR="00764C72" w:rsidRPr="00E36DFA">
        <w:br/>
      </w:r>
      <w:r w:rsidR="00131E36" w:rsidRPr="00E36DFA">
        <w:t>(группе заболеваний или состояний)</w:t>
      </w:r>
      <w:bookmarkEnd w:id="7"/>
    </w:p>
    <w:p w:rsidR="004D7374" w:rsidRPr="00971A8A" w:rsidRDefault="004D7374" w:rsidP="00E36DFA">
      <w:pPr>
        <w:pStyle w:val="2"/>
      </w:pPr>
      <w:bookmarkStart w:id="8" w:name="_Toc24826801"/>
      <w:r w:rsidRPr="00971A8A">
        <w:t>1.1 Определение</w:t>
      </w:r>
      <w:r w:rsidR="00F56B62" w:rsidRPr="00971A8A">
        <w:t xml:space="preserve"> заболевания или состояния (группы заболеваний или состояний)</w:t>
      </w:r>
      <w:bookmarkEnd w:id="8"/>
      <w:r w:rsidR="00F56B62" w:rsidRPr="00971A8A">
        <w:t xml:space="preserve"> </w:t>
      </w:r>
    </w:p>
    <w:p w:rsidR="004D7374" w:rsidRDefault="00A56CC2" w:rsidP="00131E36">
      <w:pPr>
        <w:spacing w:before="0" w:after="0"/>
        <w:ind w:firstLine="709"/>
        <w:contextualSpacing/>
      </w:pPr>
      <w:r w:rsidRPr="004A458B">
        <w:rPr>
          <w:b/>
        </w:rPr>
        <w:t>Множественная миелома</w:t>
      </w:r>
      <w:r w:rsidR="00E80729">
        <w:rPr>
          <w:b/>
        </w:rPr>
        <w:t xml:space="preserve"> (ММ)</w:t>
      </w:r>
      <w:r w:rsidR="009918E5">
        <w:rPr>
          <w:b/>
        </w:rPr>
        <w:t xml:space="preserve"> или</w:t>
      </w:r>
      <w:r w:rsidR="0045054E" w:rsidRPr="0013058D">
        <w:rPr>
          <w:b/>
        </w:rPr>
        <w:t xml:space="preserve"> </w:t>
      </w:r>
      <w:r w:rsidR="009918E5">
        <w:rPr>
          <w:b/>
        </w:rPr>
        <w:t>плазмоклеточная миелома (в редакции ВОЗ 2017</w:t>
      </w:r>
      <w:r w:rsidR="00E717D4">
        <w:rPr>
          <w:b/>
        </w:rPr>
        <w:t> г.</w:t>
      </w:r>
      <w:r w:rsidR="009918E5">
        <w:rPr>
          <w:b/>
        </w:rPr>
        <w:t xml:space="preserve">) </w:t>
      </w:r>
      <w:r w:rsidRPr="00A56CC2">
        <w:t>– это В-клеточная злокачественная опухоль, морфологическим субстратом которой являются плазматические клетки</w:t>
      </w:r>
      <w:r w:rsidR="003A6BE5">
        <w:t xml:space="preserve"> (ПК)</w:t>
      </w:r>
      <w:r w:rsidRPr="00A56CC2">
        <w:t>, продуцирующие моноклональный иммуноглобулин</w:t>
      </w:r>
      <w:r w:rsidR="00E717D4">
        <w:t xml:space="preserve"> </w:t>
      </w:r>
      <w:r w:rsidR="00A96FB6">
        <w:fldChar w:fldCharType="begin" w:fldLock="1"/>
      </w:r>
      <w:r w:rsidR="00E717D4">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E717D4" w:rsidRPr="00E717D4">
        <w:rPr>
          <w:noProof/>
        </w:rPr>
        <w:t>[1]</w:t>
      </w:r>
      <w:r w:rsidR="00A96FB6">
        <w:fldChar w:fldCharType="end"/>
      </w:r>
      <w:r w:rsidRPr="00A56CC2">
        <w:t>.</w:t>
      </w:r>
    </w:p>
    <w:p w:rsidR="004D7374" w:rsidRPr="00971A8A" w:rsidRDefault="004D7374" w:rsidP="00E36DFA">
      <w:pPr>
        <w:pStyle w:val="2"/>
      </w:pPr>
      <w:bookmarkStart w:id="9" w:name="_Toc24826802"/>
      <w:r w:rsidRPr="00971A8A">
        <w:t>1.2 Этиология и патогенез</w:t>
      </w:r>
      <w:r w:rsidR="00F56B62" w:rsidRPr="00971A8A">
        <w:t xml:space="preserve"> заболевания или состояния (группы заболеваний или состояний)</w:t>
      </w:r>
      <w:bookmarkEnd w:id="9"/>
      <w:r w:rsidR="00F56B62" w:rsidRPr="00971A8A">
        <w:t xml:space="preserve"> </w:t>
      </w:r>
    </w:p>
    <w:p w:rsidR="004D7374" w:rsidRDefault="009918E5" w:rsidP="00131E36">
      <w:pPr>
        <w:spacing w:before="0" w:after="0"/>
        <w:ind w:firstLine="709"/>
        <w:contextualSpacing/>
      </w:pPr>
      <w:r>
        <w:t xml:space="preserve">Патогенетически решающим фактом </w:t>
      </w:r>
      <w:r w:rsidR="00A045D5">
        <w:t>является</w:t>
      </w:r>
      <w:r>
        <w:t xml:space="preserve">  длительная, хроническая антигенная стимуляция </w:t>
      </w:r>
      <w:r w:rsidR="00D22D1F">
        <w:t>после</w:t>
      </w:r>
      <w:r>
        <w:t xml:space="preserve"> вирусных инфекций или других хронических заболеваний, длительного воздействия токсических веществ и радиации</w:t>
      </w:r>
      <w:r w:rsidR="00E717D4">
        <w:t xml:space="preserve"> </w:t>
      </w:r>
      <w:r w:rsidR="00A96FB6">
        <w:fldChar w:fldCharType="begin" w:fldLock="1"/>
      </w:r>
      <w:r w:rsidR="00C840EE">
        <w:instrText>ADDIN CSL_CITATION {"citationItems":[{"id":"ITEM-1","itemData":{"DOI":"10.1007/s10147-015-0837-0","ISSN":"1437-7772","PMID":"25953678","abstract":"Multiple myeloma (MM), one of the most intractable malignancies, is characterized by the infiltration and growth of plasma cells, the most differentiated cells in the B-cell lineage, in the bone marrow. Despite the introduction of novel therapeutic agents, including proteasome inhibitors and immunomodulatory drugs, the prognosis of patients with MM is still worse than that of most hematological malignancies. A better understanding of the molecular pathogenesis of the disease is essential to achieve any improvement of treatment outcome of MM patients. All MM cases pass through the phase of asymptomatic expansion of clonal plasma cells, referred to as monoclonal gammopathy of undetermined significance (MGUS). It has long been believed that MM evolves linearly from MGUS to terminal phases, such as extramedullary tumors and plasma cell leukemia via the accumulation of novel mutations. However, recent studies using next-generation sequencing have disclosed the complex genomic architecture of the disease. At each step of progression, the acquisition of novel mutations is accompanied by subclonal evolution from reservoir clones with branching patterns. Each subclone may carry novel mutations and distinct phenotypes, including drug sensitivity. In addition, minor clones already exist at the MGUS stage, which could expand later in the clinical course, resulting in relapse and/or leukemic conversion. The ultimate goal of treatment is to eradicate all clones, including subclonal populations with distinct biological characteristics. This goal could be achieved by further improving treatment strategies that reflect the genomic landscape of the disease.","author":[{"dropping-particle":"","family":"Furukawa","given":"Yusuke","non-dropping-particle":"","parse-names":false,"suffix":""},{"dropping-particle":"","family":"Kikuchi","given":"Jiro","non-dropping-particle":"","parse-names":false,"suffix":""}],"container-title":"International journal of clinical oncology","id":"ITEM-1","issue":"3","issued":{"date-parts":[["2015","6"]]},"page":"413-22","title":"Molecular pathogenesis of multiple myeloma.","type":"article-journal","volume":"20"},"uris":["http://www.mendeley.com/documents/?uuid=7ed49ac3-6857-3524-ae38-7b0b832da3da"]},{"id":"ITEM-2","itemData":{"DOI":"10.1126/science.142.3598.1492","ISSN":"0036-8075","author":[{"dropping-particle":"","family":"Lewis","given":"E. B.","non-dropping-particle":"","parse-names":false,"suffix":""}],"container-title":"Science","id":"ITEM-2","issue":"3598","issued":{"date-parts":[["1963","12","13"]]},"page":"1492-1494","title":"Leukemia, Multiple Myeloma, and Aplastic Anemia in American Radiologists","type":"article-journal","volume":"142"},"uris":["http://www.mendeley.com/documents/?uuid=f7e95964-b09a-359f-9c6e-40c490e0de91"]},{"id":"ITEM-3","itemData":{"author":[{"dropping-particle":"","family":"Linet","given":"M.S.","non-dropping-particle":"","parse-names":false,"suffix":""},{"dropping-particle":"","family":"Harlow","given":"S.D.","non-dropping-particle":"","parse-names":false,"suffix":""},{"dropping-particle":"","family":"McLaughlin","given":"J.K.","non-dropping-particle":"","parse-names":false,"suffix":""}],"container-title":"Cancer Research","id":"ITEM-3","issue":"11","issued":{"date-parts":[["1987"]]},"page":"2978-2981","title":"A case-control study of multiple myeloma in whites: chronic antigenic stimulation, occupation, and drug use.","type":"article-journal","volume":"47"},"uris":["http://www.mendeley.com/documents/?uuid=75f5cfe5-6b6b-4d02-9463-6ba010e37d9e"]},{"id":"ITEM-4","itemData":{"ISSN":"0006-4971","PMID":"9414264","author":[{"dropping-particle":"","family":"Hallek","given":"M","non-dropping-particle":"","parse-names":false,"suffix":""},{"dropping-particle":"","family":"Bergsagel","given":"P L","non-dropping-particle":"","parse-names":false,"suffix":""},{"dropping-particle":"","family":"Anderson","given":"K C","non-dropping-particle":"","parse-names":false,"suffix":""}],"container-title":"Blood","id":"ITEM-4","issue":"1","issued":{"date-parts":[["1998","1","1"]]},"page":"3-21","title":"Multiple myeloma: increasing evidence for a multistep transformation process.","type":"article-journal","volume":"91"},"uris":["http://www.mendeley.com/documents/?uuid=98f51870-a144-3f83-9627-15e5bdfb6349"]}],"mendeley":{"formattedCitation":"[2–5]","plainTextFormattedCitation":"[2–5]","previouslyFormattedCitation":"[2–5]"},"properties":{"noteIndex":0},"schema":"https://github.com/citation-style-language/schema/raw/master/csl-citation.json"}</w:instrText>
      </w:r>
      <w:r w:rsidR="00A96FB6">
        <w:fldChar w:fldCharType="separate"/>
      </w:r>
      <w:r w:rsidR="00E717D4" w:rsidRPr="00E717D4">
        <w:rPr>
          <w:noProof/>
        </w:rPr>
        <w:t>[2–5]</w:t>
      </w:r>
      <w:r w:rsidR="00A96FB6">
        <w:fldChar w:fldCharType="end"/>
      </w:r>
      <w:r w:rsidR="00E717D4">
        <w:t xml:space="preserve">. </w:t>
      </w:r>
      <w:r w:rsidR="00A045D5">
        <w:t xml:space="preserve">В результате </w:t>
      </w:r>
      <w:r w:rsidR="0045054E" w:rsidRPr="00E717D4">
        <w:rPr>
          <w:rFonts w:eastAsia="Times New Roman" w:hint="eastAsia"/>
          <w:color w:val="222222"/>
          <w:szCs w:val="24"/>
          <w:lang w:eastAsia="ru-RU"/>
        </w:rPr>
        <w:t>длительной</w:t>
      </w:r>
      <w:r w:rsidR="0045054E" w:rsidRPr="00E717D4">
        <w:rPr>
          <w:rFonts w:eastAsia="Times New Roman"/>
          <w:color w:val="222222"/>
          <w:szCs w:val="24"/>
          <w:lang w:eastAsia="ru-RU"/>
        </w:rPr>
        <w:t xml:space="preserve"> </w:t>
      </w:r>
      <w:r w:rsidR="0045054E" w:rsidRPr="00E717D4">
        <w:rPr>
          <w:rFonts w:eastAsia="Times New Roman" w:hint="eastAsia"/>
          <w:color w:val="222222"/>
          <w:szCs w:val="24"/>
          <w:lang w:eastAsia="ru-RU"/>
        </w:rPr>
        <w:t>серии</w:t>
      </w:r>
      <w:r w:rsidR="0045054E" w:rsidRPr="00E717D4">
        <w:rPr>
          <w:rFonts w:eastAsia="Times New Roman"/>
          <w:color w:val="222222"/>
          <w:szCs w:val="24"/>
          <w:lang w:eastAsia="ru-RU"/>
        </w:rPr>
        <w:t xml:space="preserve"> </w:t>
      </w:r>
      <w:r w:rsidR="0045054E" w:rsidRPr="00E717D4">
        <w:rPr>
          <w:rFonts w:eastAsia="Times New Roman" w:hint="eastAsia"/>
          <w:color w:val="222222"/>
          <w:szCs w:val="24"/>
          <w:lang w:eastAsia="ru-RU"/>
        </w:rPr>
        <w:t>генетических</w:t>
      </w:r>
      <w:r w:rsidR="0045054E" w:rsidRPr="00E717D4">
        <w:rPr>
          <w:rFonts w:eastAsia="Times New Roman"/>
          <w:color w:val="222222"/>
          <w:szCs w:val="24"/>
          <w:lang w:eastAsia="ru-RU"/>
        </w:rPr>
        <w:t xml:space="preserve"> </w:t>
      </w:r>
      <w:r w:rsidR="0045054E" w:rsidRPr="00E717D4">
        <w:rPr>
          <w:rFonts w:eastAsia="Times New Roman" w:hint="eastAsia"/>
          <w:color w:val="222222"/>
          <w:szCs w:val="24"/>
          <w:lang w:eastAsia="ru-RU"/>
        </w:rPr>
        <w:t>событий</w:t>
      </w:r>
      <w:r w:rsidR="00A045D5">
        <w:rPr>
          <w:rFonts w:eastAsia="Times New Roman"/>
          <w:color w:val="222222"/>
          <w:szCs w:val="24"/>
          <w:lang w:eastAsia="ru-RU"/>
        </w:rPr>
        <w:t xml:space="preserve"> формируется патологическский клон В-клеток, способных к дифференцировке до </w:t>
      </w:r>
      <w:r w:rsidR="003A6BE5">
        <w:rPr>
          <w:rFonts w:eastAsia="Times New Roman"/>
          <w:color w:val="222222"/>
          <w:szCs w:val="24"/>
          <w:lang w:eastAsia="ru-RU"/>
        </w:rPr>
        <w:t>ПК</w:t>
      </w:r>
      <w:r w:rsidR="00A045D5">
        <w:rPr>
          <w:rFonts w:eastAsia="Times New Roman"/>
          <w:color w:val="222222"/>
          <w:szCs w:val="24"/>
          <w:lang w:eastAsia="ru-RU"/>
        </w:rPr>
        <w:t xml:space="preserve">, но продуцирующих нефункциональный иммуноглобулин. </w:t>
      </w:r>
      <w:r w:rsidR="0045054E" w:rsidRPr="00C840EE">
        <w:rPr>
          <w:rFonts w:eastAsia="Times New Roman" w:hint="eastAsia"/>
          <w:color w:val="222222"/>
          <w:szCs w:val="24"/>
          <w:lang w:eastAsia="ru-RU"/>
        </w:rPr>
        <w:t>Биологические</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и</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клинические</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особенности</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ММ</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связаны</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с</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генетическими</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аберрациями</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такими</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как</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перестройка</w:t>
      </w:r>
      <w:r w:rsidR="00A045D5">
        <w:rPr>
          <w:rFonts w:eastAsia="Times New Roman"/>
          <w:color w:val="222222"/>
          <w:szCs w:val="24"/>
          <w:lang w:eastAsia="ru-RU"/>
        </w:rPr>
        <w:t xml:space="preserve"> локусов</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генов</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тяжелой</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цепи</w:t>
      </w:r>
      <w:r w:rsidR="00A045D5">
        <w:rPr>
          <w:rFonts w:eastAsia="Times New Roman"/>
          <w:color w:val="222222"/>
          <w:szCs w:val="24"/>
          <w:lang w:eastAsia="ru-RU"/>
        </w:rPr>
        <w:t xml:space="preserve"> иммуноглобулина (IGH)</w:t>
      </w:r>
      <w:r w:rsidR="00C840EE">
        <w:rPr>
          <w:rFonts w:eastAsia="Times New Roman"/>
          <w:color w:val="222222"/>
          <w:szCs w:val="24"/>
          <w:lang w:eastAsia="ru-RU"/>
        </w:rPr>
        <w:t xml:space="preserve">, </w:t>
      </w:r>
      <w:r w:rsidR="0045054E" w:rsidRPr="00C840EE">
        <w:rPr>
          <w:rFonts w:eastAsia="Times New Roman" w:hint="eastAsia"/>
          <w:color w:val="222222"/>
          <w:szCs w:val="24"/>
          <w:lang w:eastAsia="ru-RU"/>
        </w:rPr>
        <w:t>а</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также</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хромосомные</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делеции</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мутации</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соматических</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генов</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и</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хромосомная</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гипердиплоидия</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с</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участием</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нечетного</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числа</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хромосом</w:t>
      </w:r>
      <w:r w:rsidR="00A045D5">
        <w:rPr>
          <w:rFonts w:eastAsia="Times New Roman"/>
          <w:color w:val="222222"/>
          <w:szCs w:val="24"/>
          <w:lang w:eastAsia="ru-RU"/>
        </w:rPr>
        <w:t>. Наличие значительного количества различных генетических нарушений обусл</w:t>
      </w:r>
      <w:r w:rsidR="008030C8">
        <w:rPr>
          <w:rFonts w:eastAsia="Times New Roman"/>
          <w:color w:val="222222"/>
          <w:szCs w:val="24"/>
          <w:lang w:eastAsia="ru-RU"/>
        </w:rPr>
        <w:t>о</w:t>
      </w:r>
      <w:r w:rsidR="00A045D5">
        <w:rPr>
          <w:rFonts w:eastAsia="Times New Roman"/>
          <w:color w:val="222222"/>
          <w:szCs w:val="24"/>
          <w:lang w:eastAsia="ru-RU"/>
        </w:rPr>
        <w:t>вливает высокую вариабельность течения болезни</w:t>
      </w:r>
      <w:r w:rsidR="00C840EE">
        <w:rPr>
          <w:rFonts w:eastAsia="Times New Roman"/>
          <w:color w:val="222222"/>
          <w:szCs w:val="24"/>
          <w:lang w:eastAsia="ru-RU"/>
        </w:rPr>
        <w:t xml:space="preserve"> </w:t>
      </w:r>
      <w:r w:rsidR="00A96FB6">
        <w:rPr>
          <w:rFonts w:eastAsia="Times New Roman"/>
          <w:color w:val="222222"/>
          <w:szCs w:val="24"/>
          <w:lang w:eastAsia="ru-RU"/>
        </w:rPr>
        <w:fldChar w:fldCharType="begin" w:fldLock="1"/>
      </w:r>
      <w:r w:rsidR="00267DE2">
        <w:rPr>
          <w:rFonts w:eastAsia="Times New Roman"/>
          <w:color w:val="222222"/>
          <w:szCs w:val="24"/>
          <w:lang w:eastAsia="ru-RU"/>
        </w:rPr>
        <w:instrText>ADDIN CSL_CITATION {"citationItems":[{"id":"ITEM-1","itemData":{"DOI":"10.1007/s10147-015-0837-0","ISSN":"1437-7772","PMID":"25953678","abstract":"Multiple myeloma (MM), one of the most intractable malignancies, is characterized by the infiltration and growth of plasma cells, the most differentiated cells in the B-cell lineage, in the bone marrow. Despite the introduction of novel therapeutic agents, including proteasome inhibitors and immunomodulatory drugs, the prognosis of patients with MM is still worse than that of most hematological malignancies. A better understanding of the molecular pathogenesis of the disease is essential to achieve any improvement of treatment outcome of MM patients. All MM cases pass through the phase of asymptomatic expansion of clonal plasma cells, referred to as monoclonal gammopathy of undetermined significance (MGUS). It has long been believed that MM evolves linearly from MGUS to terminal phases, such as extramedullary tumors and plasma cell leukemia via the accumulation of novel mutations. However, recent studies using next-generation sequencing have disclosed the complex genomic architecture of the disease. At each step of progression, the acquisition of novel mutations is accompanied by subclonal evolution from reservoir clones with branching patterns. Each subclone may carry novel mutations and distinct phenotypes, including drug sensitivity. In addition, minor clones already exist at the MGUS stage, which could expand later in the clinical course, resulting in relapse and/or leukemic conversion. The ultimate goal of treatment is to eradicate all clones, including subclonal populations with distinct biological characteristics. This goal could be achieved by further improving treatment strategies that reflect the genomic landscape of the disease.","author":[{"dropping-particle":"","family":"Furukawa","given":"Yusuke","non-dropping-particle":"","parse-names":false,"suffix":""},{"dropping-particle":"","family":"Kikuchi","given":"Jiro","non-dropping-particle":"","parse-names":false,"suffix":""}],"container-title":"International journal of clinical oncology","id":"ITEM-1","issue":"3","issued":{"date-parts":[["2015","6"]]},"page":"413-22","title":"Molecular pathogenesis of multiple myeloma.","type":"article-journal","volume":"20"},"uris":["http://www.mendeley.com/documents/?uuid=7ed49ac3-6857-3524-ae38-7b0b832da3da"]},{"id":"ITEM-2","itemData":{"DOI":"10.1172/JCI61188","ISSN":"1558-8238","PMID":"23023717","abstract":"Multiple myeloma is a monoclonal tumor of plasma cells, and its development is preceded by a premalignant tumor with which it shares genetic abnormalities, including universal dysregulation of the cyclin D/retinoblastoma (cyclin D/RB) pathway. A complex interaction with the BM microenvironment, characterized by activation of osteoclasts and suppression of osteoblasts, leads to lytic bone disease. Intratumor genetic heterogeneity, which occurs in addition to intertumor heterogeneity, contributes to the rapid emergence of drug resistance in high-risk disease. Despite recent therapeutic advances, which have doubled the median survival time, myeloma continues to be a mostly incurable disease. Here we review the current understanding of myeloma pathogenesis and insight into new therapeutic strategies provided by animal models and genetic screens.","author":[{"dropping-particle":"","family":"Kuehl","given":"W Michael","non-dropping-particle":"","parse-names":false,"suffix":""},{"dropping-particle":"","family":"Bergsagel","given":"P Leif","non-dropping-particle":"","parse-names":false,"suffix":""}],"container-title":"The Journal of clinical investigation","id":"ITEM-2","issue":"10","issued":{"date-parts":[["2012","10"]]},"page":"3456-63","title":"Molecular pathogenesis of multiple myeloma and its premalignant precursor.","type":"article-journal","volume":"122"},"uris":["http://www.mendeley.com/documents/?uuid=cec0d1b0-5bbe-3cad-b7f6-f0c7352a7c55"]},{"id":"ITEM-3","itemData":{"DOI":"10.1038/nrc3257","ISSN":"1474-1768","PMID":"22495321","abstract":"Based on the clinical features of myeloma and related malignancies of plasma cells, it has been possible to generate a model system of myeloma progression from a normal plasma cell through smouldering myeloma to myeloma and then plasma cell leukaemia. Using this model system we can study at which points the genetic alterations identified through whole-tumour molecular analyses function in the initiation and progression of myeloma. Further genetic complexity, such as intraclonal heterogeneity, and insights into the molecular evolution and intraclonal dynamics in this model system are crucial to our understandings of tumour progression, treatment resistance and the use of currently available and future treatments.","author":[{"dropping-particle":"","family":"Morgan","given":"Gareth J","non-dropping-particle":"","parse-names":false,"suffix":""},{"dropping-particle":"","family":"Walker","given":"Brian A","non-dropping-particle":"","parse-names":false,"suffix":""},{"dropping-particle":"","family":"Davies","given":"Faith E","non-dropping-particle":"","parse-names":false,"suffix":""}],"container-title":"Nature reviews. Cancer","id":"ITEM-3","issue":"5","issued":{"date-parts":[["2012","4","12"]]},"page":"335-48","title":"The genetic architecture of multiple myeloma.","type":"article-journal","volume":"12"},"uris":["http://www.mendeley.com/documents/?uuid=22f30392-a9bf-3e38-be7b-8d6e10f4bec0"]},{"id":"ITEM-4","itemData":{"DOI":"10.1038/leu.2009.174","ISSN":"14765551","abstract":"Myeloma is a malignant proliferation of monoclonal plasma cells. Although morphologically similar, several subtypes of the disease have been identified at the genetic and molecular level. These genetic subtypes are associated with unique clinicopathological features and dissimilar outcome. At the top hierarchical level, myeloma can be divided into hyperdiploid and non-hyperdiploid subtypes. The latter is mainly composed of cases harboring IgH translocations, generally associated with more aggressive clinical features and shorter survival. The three main IgH translocations in myeloma are the t(11;14)(q13;q32), t(4;14)(p16;q32) and t(14;16)(q32;q23). Trisomies and a more indolent form of the disease characterize hyperdiploid myeloma. A number of genetic progression factors have been identified including deletions of chromosomes 13 and 17 and abnormalities of chromosome 1 (1p deletion and 1q amplification). Other key drivers of cell survival and proliferation have also been identified such as nuclear factor- B-activating mutations and other deregulation factors for the cyclin-dependent pathways regulators. Further understanding of the biological subtypes of the disease has come from the application of novel techniques such as gene expression profiling and array-based comparative genomic hybridization. The combination of data arising from these studies and that previously elucidated through other mechanisms allows for most myeloma cases to be classified under one of several genetic subtypes. This paper proposes a framework for the classification of myeloma subtypes and provides recommendations for genetic testing. This group proposes that genetic testing needs to be incorporated into daily clinical practice and also as an essential component of all ongoing and future clinical trials.","author":[{"dropping-particle":"","family":"Fonseca","given":"R.","non-dropping-particle":"","parse-names":false,"suffix":""},{"dropping-particle":"","family":"Bergsagel","given":"P. L.","non-dropping-particle":"","parse-names":false,"suffix":""},{"dropping-particle":"","family":"Drach","given":"J.","non-dropping-particle":"","parse-names":false,"suffix":""},{"dropping-particle":"","family":"Shaughnessy","given":"J.","non-dropping-particle":"","parse-names":false,"suffix":""},{"dropping-particle":"","family":"Gutierrez","given":"N.","non-dropping-particle":"","parse-names":false,"suffix":""},{"dropping-particle":"","family":"Stewart","given":"A. K.","non-dropping-particle":"","parse-names":false,"suffix":""},{"dropping-particle":"","family":"Morgan","given":"G.","non-dropping-particle":"","parse-names":false,"suffix":""},{"dropping-particle":"","family":"Ness","given":"B.","non-dropping-particle":"Van","parse-names":false,"suffix":""},{"dropping-particle":"","family":"Chesi","given":"M.","non-dropping-particle":"","parse-names":false,"suffix":""},{"dropping-particle":"","family":"Minvielle","given":"S.","non-dropping-particle":"","parse-names":false,"suffix":""},{"dropping-particle":"","family":"Neri","given":"A.","non-dropping-particle":"","parse-names":false,"suffix":""},{"dropping-particle":"","family":"Barlogie","given":"B.","non-dropping-particle":"","parse-names":false,"suffix":""},{"dropping-particle":"","family":"Kuehl","given":"W. M.","non-dropping-particle":"","parse-names":false,"suffix":""},{"dropping-particle":"","family":"Liebisch","given":"P.","non-dropping-particle":"","parse-names":false,"suffix":""},{"dropping-particle":"","family":"Davies","given":"F.","non-dropping-particle":"","parse-names":false,"suffix":""},{"dropping-particle":"","family":"Chen-Kiang","given":"S.","non-dropping-particle":"","parse-names":false,"suffix":""},{"dropping-particle":"","family":"Durie","given":"B. G.M.","non-dropping-particle":"","parse-names":false,"suffix":""},{"dropping-particle":"","family":"Carrasco","given":"R.","non-dropping-particle":"","parse-names":false,"suffix":""},{"dropping-particle":"","family":"Sezer","given":"O.","non-dropping-particle":"","parse-names":false,"suffix":""},{"dropping-particle":"","family":"Reiman","given":"T.","non-dropping-particle":"","parse-names":false,"suffix":""},{"dropping-particle":"","family":"Pilarski","given":"L.","non-dropping-particle":"","parse-names":false,"suffix":""},{"dropping-particle":"","family":"Avet-Loiseau","given":"H.","non-dropping-particle":"","parse-names":false,"suffix":""}],"container-title":"Leukemia","id":"ITEM-4","issue":"12","issued":{"date-parts":[["2009"]]},"page":"2210-2221","publisher":"Nature Publishing Group","title":"International Myeloma Working Group molecular classification of multiple myeloma: Spotlight review","type":"article","volume":"23"},"uris":["http://www.mendeley.com/documents/?uuid=eea161a0-d6ce-3fa3-9219-81304b897921"]}],"mendeley":{"formattedCitation":"[2,6–8]","plainTextFormattedCitation":"[2,6–8]","previouslyFormattedCitation":"[2,6–8]"},"properties":{"noteIndex":0},"schema":"https://github.com/citation-style-language/schema/raw/master/csl-citation.json"}</w:instrText>
      </w:r>
      <w:r w:rsidR="00A96FB6">
        <w:rPr>
          <w:rFonts w:eastAsia="Times New Roman"/>
          <w:color w:val="222222"/>
          <w:szCs w:val="24"/>
          <w:lang w:eastAsia="ru-RU"/>
        </w:rPr>
        <w:fldChar w:fldCharType="separate"/>
      </w:r>
      <w:r w:rsidR="000D22CF" w:rsidRPr="000D22CF">
        <w:rPr>
          <w:rFonts w:eastAsia="Times New Roman"/>
          <w:noProof/>
          <w:color w:val="222222"/>
          <w:szCs w:val="24"/>
          <w:lang w:eastAsia="ru-RU"/>
        </w:rPr>
        <w:t>[2,6–8]</w:t>
      </w:r>
      <w:r w:rsidR="00A96FB6">
        <w:rPr>
          <w:rFonts w:eastAsia="Times New Roman"/>
          <w:color w:val="222222"/>
          <w:szCs w:val="24"/>
          <w:lang w:eastAsia="ru-RU"/>
        </w:rPr>
        <w:fldChar w:fldCharType="end"/>
      </w:r>
      <w:r w:rsidR="004A458B">
        <w:t>.</w:t>
      </w:r>
    </w:p>
    <w:p w:rsidR="004D7374" w:rsidRDefault="004D7374" w:rsidP="00131E36">
      <w:pPr>
        <w:pStyle w:val="2"/>
        <w:spacing w:before="0" w:after="0"/>
        <w:ind w:firstLine="709"/>
        <w:contextualSpacing/>
      </w:pPr>
      <w:bookmarkStart w:id="10" w:name="_Toc24826803"/>
      <w:r>
        <w:t>1.3 Эпидемиология</w:t>
      </w:r>
      <w:r w:rsidR="00F56B62">
        <w:t xml:space="preserve"> </w:t>
      </w:r>
      <w:r w:rsidR="00F56B62" w:rsidRPr="00F56B62">
        <w:t>заболевания или состояния (группы заболеваний или состояний)</w:t>
      </w:r>
      <w:bookmarkEnd w:id="10"/>
    </w:p>
    <w:p w:rsidR="004D7374" w:rsidRDefault="00CD79F9" w:rsidP="00131E36">
      <w:pPr>
        <w:spacing w:before="0" w:after="0"/>
        <w:ind w:firstLine="709"/>
        <w:contextualSpacing/>
      </w:pPr>
      <w:r>
        <w:t>Заболеваемость ММ</w:t>
      </w:r>
      <w:r w:rsidR="004A458B" w:rsidRPr="004A458B">
        <w:t xml:space="preserve"> составляет приблизительно 1</w:t>
      </w:r>
      <w:r>
        <w:t> </w:t>
      </w:r>
      <w:r w:rsidR="004A458B" w:rsidRPr="004A458B">
        <w:t>% среди всех злокачественных опухолей и до 10</w:t>
      </w:r>
      <w:r>
        <w:t>−</w:t>
      </w:r>
      <w:r w:rsidR="004A458B" w:rsidRPr="004A458B">
        <w:t>1</w:t>
      </w:r>
      <w:r w:rsidR="002A5B1B">
        <w:t>5</w:t>
      </w:r>
      <w:r>
        <w:t> </w:t>
      </w:r>
      <w:r w:rsidR="004A458B" w:rsidRPr="004A458B">
        <w:t xml:space="preserve">% всех </w:t>
      </w:r>
      <w:r w:rsidR="002A5B1B">
        <w:t>опухолей кроветворной и лимфоидной тканей</w:t>
      </w:r>
      <w:r w:rsidR="004A458B" w:rsidRPr="004A458B">
        <w:t xml:space="preserve">. Заболевают преимущественно люди старшей возрастной группы. Средний возраст вновь заболевших </w:t>
      </w:r>
      <w:r>
        <w:t>− ≈</w:t>
      </w:r>
      <w:r w:rsidR="004A458B" w:rsidRPr="004A458B">
        <w:t>70 лет, распространенность заболевания среди населения моложе 40 лет не превышает 2</w:t>
      </w:r>
      <w:r w:rsidR="00EF028E">
        <w:t> </w:t>
      </w:r>
      <w:r w:rsidR="004A458B" w:rsidRPr="004A458B">
        <w:t>%. В России в 2017 г. заболеваемость ММ составила 2,78 на 100</w:t>
      </w:r>
      <w:r w:rsidR="00C840EE">
        <w:t> </w:t>
      </w:r>
      <w:r w:rsidR="00EF028E">
        <w:t>тыс.</w:t>
      </w:r>
      <w:r w:rsidR="004A458B" w:rsidRPr="004A458B">
        <w:t xml:space="preserve"> населения, впервые было диагностировано 4</w:t>
      </w:r>
      <w:r w:rsidR="00C840EE">
        <w:t> </w:t>
      </w:r>
      <w:r w:rsidR="004A458B" w:rsidRPr="004A458B">
        <w:t>075 случая, умерл</w:t>
      </w:r>
      <w:r w:rsidR="00EF028E">
        <w:t>и</w:t>
      </w:r>
      <w:r w:rsidR="004A458B" w:rsidRPr="004A458B">
        <w:t xml:space="preserve"> 2587 </w:t>
      </w:r>
      <w:r w:rsidR="00FB03BB" w:rsidRPr="00EF028E">
        <w:t>пациентов</w:t>
      </w:r>
      <w:r w:rsidR="00C840EE" w:rsidRPr="00C840EE">
        <w:rPr>
          <w:i/>
        </w:rPr>
        <w:t xml:space="preserve"> </w:t>
      </w:r>
      <w:r w:rsidR="00A96FB6">
        <w:rPr>
          <w:i/>
        </w:rPr>
        <w:fldChar w:fldCharType="begin" w:fldLock="1"/>
      </w:r>
      <w:r w:rsidR="00C840EE">
        <w:rPr>
          <w:i/>
        </w:rPr>
        <w:instrText>ADDIN CSL_CITATION {"citationItems":[{"id":"ITEM-1","itemData":{"id":"ITEM-1","issued":{"date-parts":[["2018"]]},"publisher":"М.: МНИОИ им. П.А. Герцена – филиал ФГБУ «НМИЦ радиологии» Минздрава России","title":"Злокачественные новообразования в России в 2017 году (заболеваемость и смертность). Под ред. А.Д. Каприна, В.В. Старинского, Г.В. Петровой.","type":"book"},"uris":["http://www.mendeley.com/documents/?uuid=68874f7e-083c-49ca-8143-de3506a11a73"]}],"mendeley":{"formattedCitation":"[9]","plainTextFormattedCitation":"[9]","previouslyFormattedCitation":"[9]"},"properties":{"noteIndex":0},"schema":"https://github.com/citation-style-language/schema/raw/master/csl-citation.json"}</w:instrText>
      </w:r>
      <w:r w:rsidR="00A96FB6">
        <w:rPr>
          <w:i/>
        </w:rPr>
        <w:fldChar w:fldCharType="separate"/>
      </w:r>
      <w:r w:rsidR="00C840EE" w:rsidRPr="00C840EE">
        <w:rPr>
          <w:noProof/>
        </w:rPr>
        <w:t>[9]</w:t>
      </w:r>
      <w:r w:rsidR="00A96FB6">
        <w:rPr>
          <w:i/>
        </w:rPr>
        <w:fldChar w:fldCharType="end"/>
      </w:r>
      <w:r w:rsidR="004A458B">
        <w:t>.</w:t>
      </w:r>
    </w:p>
    <w:p w:rsidR="004D7374" w:rsidRDefault="004D7374" w:rsidP="00131E36">
      <w:pPr>
        <w:pStyle w:val="2"/>
        <w:spacing w:before="0" w:after="0"/>
        <w:ind w:firstLine="709"/>
        <w:contextualSpacing/>
      </w:pPr>
      <w:bookmarkStart w:id="11" w:name="_Toc24826804"/>
      <w:r>
        <w:t xml:space="preserve">1.4 </w:t>
      </w:r>
      <w:r w:rsidR="00F56B62" w:rsidRPr="00F56B62">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1"/>
    </w:p>
    <w:p w:rsidR="004A458B" w:rsidRDefault="004A458B" w:rsidP="00131E36">
      <w:pPr>
        <w:spacing w:before="0" w:after="0"/>
        <w:ind w:firstLine="709"/>
        <w:contextualSpacing/>
      </w:pPr>
      <w:r w:rsidRPr="00582778">
        <w:rPr>
          <w:b/>
        </w:rPr>
        <w:t xml:space="preserve">С90.0 </w:t>
      </w:r>
      <w:r w:rsidR="00EF028E">
        <w:rPr>
          <w:b/>
        </w:rPr>
        <w:t>−</w:t>
      </w:r>
      <w:r w:rsidRPr="004A458B">
        <w:t xml:space="preserve"> </w:t>
      </w:r>
      <w:r w:rsidR="00EF028E">
        <w:t>м</w:t>
      </w:r>
      <w:r w:rsidRPr="004A458B">
        <w:t xml:space="preserve">ножественная миелома </w:t>
      </w:r>
    </w:p>
    <w:p w:rsidR="004D7374" w:rsidRPr="00971A8A" w:rsidRDefault="004D7374" w:rsidP="00E36DFA">
      <w:pPr>
        <w:pStyle w:val="2"/>
      </w:pPr>
      <w:bookmarkStart w:id="12" w:name="_Toc24826805"/>
      <w:r w:rsidRPr="00971A8A">
        <w:lastRenderedPageBreak/>
        <w:t xml:space="preserve">1.5 </w:t>
      </w:r>
      <w:r w:rsidR="00407D81" w:rsidRPr="00971A8A">
        <w:t>Классификация</w:t>
      </w:r>
      <w:r w:rsidR="00F56B62" w:rsidRPr="00971A8A">
        <w:t xml:space="preserve"> заболевания или состояния (группы заболеваний или состояний)</w:t>
      </w:r>
      <w:bookmarkEnd w:id="12"/>
    </w:p>
    <w:p w:rsidR="002A5B1B" w:rsidRDefault="002A5B1B" w:rsidP="00131E36">
      <w:pPr>
        <w:spacing w:before="0" w:after="0"/>
        <w:ind w:firstLine="709"/>
        <w:contextualSpacing/>
      </w:pPr>
      <w:r>
        <w:t>Среди плазмо</w:t>
      </w:r>
      <w:r w:rsidR="00F96C93">
        <w:t>кл</w:t>
      </w:r>
      <w:r>
        <w:t>еточных опухолей в настоящее время выделяют</w:t>
      </w:r>
      <w:r w:rsidR="00C840EE">
        <w:t xml:space="preserve"> </w:t>
      </w:r>
      <w:r w:rsidR="00A96FB6">
        <w:fldChar w:fldCharType="begin" w:fldLock="1"/>
      </w:r>
      <w:r w:rsidR="00F832D0">
        <w:instrText>ADDIN CSL_CITATION {"citationItems":[{"id":"ITEM-1","itemData":{"author":[{"dropping-particle":"","family":"Бессмельцев","given":"С.С.","non-dropping-particle":"","parse-names":false,"suffix":""}],"container-title":"Вестник гематологии.","id":"ITEM-1","issue":"3","issued":{"date-parts":[["2014"]]},"page":"6-39","title":"Множественная миелома (лекция).","type":"article-journal","volume":"10"},"uris":["http://www.mendeley.com/documents/?uuid=1498007c-e9c9-4d2e-b25d-194ee99dadd9"]}],"mendeley":{"formattedCitation":"[10]","plainTextFormattedCitation":"[10]","previouslyFormattedCitation":"[10]"},"properties":{"noteIndex":0},"schema":"https://github.com/citation-style-language/schema/raw/master/csl-citation.json"}</w:instrText>
      </w:r>
      <w:r w:rsidR="00A96FB6">
        <w:fldChar w:fldCharType="separate"/>
      </w:r>
      <w:r w:rsidR="00C840EE" w:rsidRPr="00C840EE">
        <w:rPr>
          <w:noProof/>
        </w:rPr>
        <w:t>[10]</w:t>
      </w:r>
      <w:r w:rsidR="00A96FB6">
        <w:fldChar w:fldCharType="end"/>
      </w:r>
      <w:r>
        <w:t>:</w:t>
      </w:r>
    </w:p>
    <w:p w:rsidR="002A5B1B" w:rsidRDefault="002A5B1B" w:rsidP="002F2D5C">
      <w:pPr>
        <w:pStyle w:val="a5"/>
        <w:numPr>
          <w:ilvl w:val="0"/>
          <w:numId w:val="60"/>
        </w:numPr>
        <w:spacing w:before="0" w:after="0"/>
      </w:pPr>
      <w:r>
        <w:t>монокл</w:t>
      </w:r>
      <w:r w:rsidR="00C840EE">
        <w:t>о</w:t>
      </w:r>
      <w:r>
        <w:t xml:space="preserve">нальную гаммапатию неясного генеза (не </w:t>
      </w:r>
      <w:r w:rsidRPr="00485185">
        <w:rPr>
          <w:lang w:val="en-US"/>
        </w:rPr>
        <w:t>Ig</w:t>
      </w:r>
      <w:r w:rsidRPr="008A1F5C">
        <w:t>-</w:t>
      </w:r>
      <w:r w:rsidRPr="00485185">
        <w:rPr>
          <w:lang w:val="en-US"/>
        </w:rPr>
        <w:t>M</w:t>
      </w:r>
      <w:r>
        <w:t xml:space="preserve"> тип)</w:t>
      </w:r>
      <w:r w:rsidR="00C840EE">
        <w:t>;</w:t>
      </w:r>
    </w:p>
    <w:p w:rsidR="002A5B1B" w:rsidRDefault="002A5B1B" w:rsidP="002F2D5C">
      <w:pPr>
        <w:pStyle w:val="a5"/>
        <w:numPr>
          <w:ilvl w:val="0"/>
          <w:numId w:val="60"/>
        </w:numPr>
        <w:spacing w:before="0" w:after="0"/>
      </w:pPr>
      <w:r>
        <w:t>моноколональн</w:t>
      </w:r>
      <w:r w:rsidR="005A572F">
        <w:t>ую</w:t>
      </w:r>
      <w:r>
        <w:t xml:space="preserve"> гаммапати</w:t>
      </w:r>
      <w:r w:rsidR="005A572F">
        <w:t>ю</w:t>
      </w:r>
      <w:r>
        <w:t xml:space="preserve"> неясного генеза с вовлечением легких цепей</w:t>
      </w:r>
      <w:r w:rsidR="00C840EE">
        <w:t>;</w:t>
      </w:r>
    </w:p>
    <w:p w:rsidR="002A5B1B" w:rsidRDefault="002A5B1B" w:rsidP="002F2D5C">
      <w:pPr>
        <w:pStyle w:val="a5"/>
        <w:numPr>
          <w:ilvl w:val="0"/>
          <w:numId w:val="60"/>
        </w:numPr>
        <w:spacing w:before="0" w:after="0"/>
      </w:pPr>
      <w:r>
        <w:t>плазмоклеточную (множественную) миелому</w:t>
      </w:r>
      <w:r w:rsidR="00C840EE">
        <w:t>;</w:t>
      </w:r>
      <w:r>
        <w:t xml:space="preserve">  </w:t>
      </w:r>
    </w:p>
    <w:p w:rsidR="002A5B1B" w:rsidRDefault="002A5B1B" w:rsidP="002F2D5C">
      <w:pPr>
        <w:pStyle w:val="a5"/>
        <w:numPr>
          <w:ilvl w:val="0"/>
          <w:numId w:val="60"/>
        </w:numPr>
        <w:spacing w:before="0" w:after="0"/>
      </w:pPr>
      <w:r>
        <w:t>варианты плазмоклеточной миеломы</w:t>
      </w:r>
      <w:r w:rsidR="005A572F">
        <w:t>:</w:t>
      </w:r>
      <w:r>
        <w:t xml:space="preserve"> вялотекущ</w:t>
      </w:r>
      <w:r w:rsidR="005A572F">
        <w:t>ую</w:t>
      </w:r>
      <w:r>
        <w:t xml:space="preserve"> (асимптоматическую) миелом</w:t>
      </w:r>
      <w:r w:rsidR="005A572F">
        <w:t>у</w:t>
      </w:r>
      <w:r>
        <w:t>, несекретирующ</w:t>
      </w:r>
      <w:r w:rsidR="005A572F">
        <w:t>ую</w:t>
      </w:r>
      <w:r>
        <w:t xml:space="preserve"> миелом</w:t>
      </w:r>
      <w:r w:rsidR="005A572F">
        <w:t>у</w:t>
      </w:r>
      <w:r>
        <w:t xml:space="preserve"> и плазмоклеточный лейкоз</w:t>
      </w:r>
      <w:r w:rsidR="00C840EE">
        <w:t>;</w:t>
      </w:r>
      <w:r>
        <w:t xml:space="preserve"> </w:t>
      </w:r>
    </w:p>
    <w:p w:rsidR="002A5B1B" w:rsidRPr="008A1F5C" w:rsidRDefault="002A5B1B" w:rsidP="002F2D5C">
      <w:pPr>
        <w:pStyle w:val="a5"/>
        <w:numPr>
          <w:ilvl w:val="0"/>
          <w:numId w:val="60"/>
        </w:numPr>
        <w:spacing w:before="0" w:after="0"/>
      </w:pPr>
      <w:r>
        <w:t>плазмоцитом</w:t>
      </w:r>
      <w:r w:rsidR="005A572F">
        <w:t>у</w:t>
      </w:r>
      <w:r w:rsidR="00C840EE">
        <w:t>.</w:t>
      </w:r>
    </w:p>
    <w:p w:rsidR="00371E91" w:rsidRPr="00181F3F" w:rsidRDefault="00371E91" w:rsidP="00131E36">
      <w:pPr>
        <w:spacing w:before="0" w:after="0"/>
        <w:ind w:firstLine="709"/>
        <w:contextualSpacing/>
      </w:pPr>
      <w:r w:rsidRPr="00181F3F">
        <w:t xml:space="preserve">Множественная миелома </w:t>
      </w:r>
      <w:r w:rsidR="00E74207">
        <w:t>классифицируется</w:t>
      </w:r>
      <w:r w:rsidR="008605BE">
        <w:t xml:space="preserve"> по стадиям и </w:t>
      </w:r>
      <w:r w:rsidRPr="00181F3F">
        <w:t>по факторам риска.</w:t>
      </w:r>
    </w:p>
    <w:p w:rsidR="004A458B" w:rsidRDefault="004A458B" w:rsidP="00131E36">
      <w:pPr>
        <w:spacing w:before="0" w:after="0"/>
        <w:ind w:firstLine="709"/>
        <w:contextualSpacing/>
        <w:rPr>
          <w:rStyle w:val="ab"/>
          <w:b w:val="0"/>
        </w:rPr>
      </w:pPr>
      <w:bookmarkStart w:id="13" w:name="_Toc520213124"/>
      <w:r w:rsidRPr="004A458B">
        <w:rPr>
          <w:rStyle w:val="ab"/>
          <w:b w:val="0"/>
        </w:rPr>
        <w:t>Распространенной системой стадирования является классификация B.</w:t>
      </w:r>
      <w:r w:rsidR="005A572F">
        <w:rPr>
          <w:rStyle w:val="ab"/>
          <w:b w:val="0"/>
        </w:rPr>
        <w:t> </w:t>
      </w:r>
      <w:r w:rsidRPr="004A458B">
        <w:rPr>
          <w:rStyle w:val="ab"/>
          <w:b w:val="0"/>
        </w:rPr>
        <w:t>Durie и S.</w:t>
      </w:r>
      <w:r w:rsidR="005A572F">
        <w:rPr>
          <w:rStyle w:val="ab"/>
          <w:b w:val="0"/>
        </w:rPr>
        <w:t> </w:t>
      </w:r>
      <w:r w:rsidRPr="004A458B">
        <w:rPr>
          <w:rStyle w:val="ab"/>
          <w:b w:val="0"/>
        </w:rPr>
        <w:t>Salmon, предложенная в 1975 г. (табл. 1)</w:t>
      </w:r>
      <w:r w:rsidR="00F832D0">
        <w:rPr>
          <w:rStyle w:val="ab"/>
          <w:b w:val="0"/>
        </w:rPr>
        <w:t xml:space="preserve"> </w:t>
      </w:r>
      <w:r w:rsidR="00A96FB6">
        <w:rPr>
          <w:rStyle w:val="ab"/>
          <w:b w:val="0"/>
        </w:rPr>
        <w:fldChar w:fldCharType="begin" w:fldLock="1"/>
      </w:r>
      <w:r w:rsidR="00F832D0">
        <w:rPr>
          <w:rStyle w:val="ab"/>
          <w:b w:val="0"/>
        </w:rPr>
        <w:instrText>ADDIN CSL_CITATION {"citationItems":[{"id":"ITEM-1","itemData":{"DOI":"10.1002/1097-0142(197509)36:3&lt;842::AID-CNCR2820360303&gt;3.0.CO;2-U","ISSN":"10970142","abstract":"The presenting clinical features of 71 patients with multiple myeloma were correlated with myeloma cell mass (myeloma cells X 10(12)/m2 of body surface area) determined from measurements of monoclonal immunoglobulin (M-component) synthesis and metabolism. Bivariate correlation and multivariate regression analyses showed that myeloma cell mass could be accurately predicted from A) extent of bone lesions, B) hemoglobin level, C) serum calcium level, and D) M-component levels in serum and urine. Analyses of response to chemotherapy and survival indicated significant correlation with measured myeloma cell burden. The results were synthesized to produce a very reliable and useful clinical staging system with three tumor cell mass levels (Table 7). For clinical research purposes, multivariate regression equations were developed to predict optimally the exact myeloma cell mass. Thus, initial staging can be quantitatively related to followup using tumor cell mass changes calculated from changes in M-component production. Use of the clinical staging system sould provide better initial assessment and followup of individual patients, and should lead to improved study design and analysis in large clinical trials of therapy for multiple myeloma.","author":[{"dropping-particle":"","family":"Durie","given":"Brian G.M.","non-dropping-particle":"","parse-names":false,"suffix":""},{"dropping-particle":"","family":"Salmon","given":"Sydney E.","non-dropping-particle":"","parse-names":false,"suffix":""}],"container-title":"Cancer","id":"ITEM-1","issue":"3","issued":{"date-parts":[["1975"]]},"page":"842-854","title":"A clinical staging system for multiple myeloma correlation of measured myeloma cell mass with presenting clinical features, response to treatment, and survival","type":"article-journal","volume":"36"},"uris":["http://www.mendeley.com/documents/?uuid=c25f510a-8f4d-3754-808b-9ead081306bc"]}],"mendeley":{"formattedCitation":"[11]","plainTextFormattedCitation":"[11]","previouslyFormattedCitation":"[11]"},"properties":{"noteIndex":0},"schema":"https://github.com/citation-style-language/schema/raw/master/csl-citation.json"}</w:instrText>
      </w:r>
      <w:r w:rsidR="00A96FB6">
        <w:rPr>
          <w:rStyle w:val="ab"/>
          <w:b w:val="0"/>
        </w:rPr>
        <w:fldChar w:fldCharType="separate"/>
      </w:r>
      <w:r w:rsidR="00F832D0" w:rsidRPr="00F832D0">
        <w:rPr>
          <w:rStyle w:val="ab"/>
          <w:b w:val="0"/>
          <w:noProof/>
        </w:rPr>
        <w:t>[11]</w:t>
      </w:r>
      <w:r w:rsidR="00A96FB6">
        <w:rPr>
          <w:rStyle w:val="ab"/>
          <w:b w:val="0"/>
        </w:rPr>
        <w:fldChar w:fldCharType="end"/>
      </w:r>
      <w:r w:rsidRPr="004A458B">
        <w:rPr>
          <w:rStyle w:val="ab"/>
          <w:b w:val="0"/>
        </w:rPr>
        <w:t>, которая была заменена на международную систему стадирования (International</w:t>
      </w:r>
      <w:r w:rsidR="00E74207">
        <w:rPr>
          <w:rStyle w:val="ab"/>
          <w:b w:val="0"/>
        </w:rPr>
        <w:t xml:space="preserve"> </w:t>
      </w:r>
      <w:r w:rsidRPr="004A458B">
        <w:rPr>
          <w:rStyle w:val="ab"/>
          <w:b w:val="0"/>
        </w:rPr>
        <w:t>Staging</w:t>
      </w:r>
      <w:r w:rsidR="00E74207">
        <w:rPr>
          <w:rStyle w:val="ab"/>
          <w:b w:val="0"/>
        </w:rPr>
        <w:t xml:space="preserve"> </w:t>
      </w:r>
      <w:r w:rsidRPr="004A458B">
        <w:rPr>
          <w:rStyle w:val="ab"/>
          <w:b w:val="0"/>
        </w:rPr>
        <w:t>System – ISS)</w:t>
      </w:r>
      <w:r w:rsidR="00F832D0" w:rsidRPr="00F832D0">
        <w:rPr>
          <w:rStyle w:val="ab"/>
          <w:b w:val="0"/>
        </w:rPr>
        <w:t xml:space="preserve"> </w:t>
      </w:r>
      <w:r w:rsidR="00A96FB6">
        <w:rPr>
          <w:rStyle w:val="ab"/>
          <w:b w:val="0"/>
        </w:rPr>
        <w:fldChar w:fldCharType="begin" w:fldLock="1"/>
      </w:r>
      <w:r w:rsidR="002E3E42">
        <w:rPr>
          <w:rStyle w:val="ab"/>
          <w:b w:val="0"/>
        </w:rPr>
        <w:instrText>ADDIN CSL_CITATION {"citationItems":[{"id":"ITEM-1","itemData":{"DOI":"10.1200/JCO.2005.04.242","ISSN":"0732183X","abstract":"Purpose: There is a need for a simple, reliable staging system for multiple myeloma that can be applied internationally for patient classification and stratification. Patients and Methods: Clinical and laboratory data were gathered on 10,750 previously untreated symptomatic myeloma patients from 17 institutions, including sites in North America, Europe, and Asia. Potential prognostic factors were evaluated by univariate and multivariate techniques. Three modeling approaches were then explored to develop a staging system including two nontree and one tree survival assessment methodologies. Results: Serum beta 2-microglobulin (S? 2M), serum albumin, platelet count, serum creatinine, and age emerged as powerful predictors of survival and were then used in the tree analysis approach. A combination of S? 2M and serum albumin provided the simplest, most powerful and reproducible three-stage classification. This new International Staging System (ISS) was validated in the remaining patients and consists of the following stages: stage I, S? 2M less than 3.5 mg/L plus serum albumin ? 3.5 g/dL (median survival, 62 months); stage II, neither stage I nor III (median survival, 44 months); and stage III, S? 2M &gt; 5.5 mg/L (median survival, 29 months). The ISS system was further validated by demonstrating effectiveness in patients in North America, Europe, and Asia; in patients less than and ? 65 years of age; in patients with standard therapy or autotransplantation; and in comparison with the Durie/ Salmon staging system. Conclusion: The new ISS is simple, based on easy to use variables (S? 2M and serum albumin), and recommended for early adoption and widespread use. ? 2005 by American Society of Clinical Oncology.","author":[{"dropping-particle":"","family":"Greipp","given":"Philip R.","non-dropping-particle":"","parse-names":false,"suffix":""},{"dropping-particle":"","family":"Miguel","given":"Jesus San","non-dropping-particle":"","parse-names":false,"suffix":""},{"dropping-particle":"","family":"Dune","given":"Brian G.M.","non-dropping-particle":"","parse-names":false,"suffix":""},{"dropping-particle":"","family":"Crowley","given":"John J.","non-dropping-particle":"","parse-names":false,"suffix":""},{"dropping-particle":"","family":"Barlogie","given":"Bart","non-dropping-particle":"","parse-names":false,"suffix":""},{"dropping-particle":"","family":"Bladé","given":"Joan","non-dropping-particle":"","parse-names":false,"suffix":""},{"dropping-particle":"","family":"Boccadoro","given":"Mario","non-dropping-particle":"","parse-names":false,"suffix":""},{"dropping-particle":"","family":"Child","given":"J. Anthony","non-dropping-particle":"","parse-names":false,"suffix":""},{"dropping-particle":"","family":"Harousseau","given":"Jean Luc","non-dropping-particle":"","parse-names":false,"suffix":""},{"dropping-particle":"","family":"Kyle","given":"Robert A.","non-dropping-particle":"","parse-names":false,"suffix":""},{"dropping-particle":"","family":"Lahuerta","given":"Juan J.","non-dropping-particle":"","parse-names":false,"suffix":""},{"dropping-particle":"","family":"Ludwig","given":"Heinz","non-dropping-particle":"","parse-names":false,"suffix":""},{"dropping-particle":"","family":"Morgan","given":"Gareth","non-dropping-particle":"","parse-names":false,"suffix":""},{"dropping-particle":"","family":"Powles","given":"Raymond","non-dropping-particle":"","parse-names":false,"suffix":""},{"dropping-particle":"","family":"Shimizu","given":"Kazuyuki","non-dropping-particle":"","parse-names":false,"suffix":""},{"dropping-particle":"","family":"Shustik","given":"Chaim","non-dropping-particle":"","parse-names":false,"suffix":""},{"dropping-particle":"","family":"Sonneveld","given":"Pieter","non-dropping-particle":"","parse-names":false,"suffix":""},{"dropping-particle":"","family":"Tosi","given":"Patrizia","non-dropping-particle":"","parse-names":false,"suffix":""},{"dropping-particle":"","family":"Turesson","given":"Ingemar","non-dropping-particle":"","parse-names":false,"suffix":""},{"dropping-particle":"","family":"Westin","given":"Jan","non-dropping-particle":"","parse-names":false,"suffix":""}],"container-title":"Journal of Clinical Oncology","id":"ITEM-1","issue":"15","issued":{"date-parts":[["2005"]]},"page":"3412-3420","title":"International staging system for multiple myeloma","type":"article-journal","volume":"23"},"uris":["http://www.mendeley.com/documents/?uuid=aa3df05b-8256-3934-85b7-0a983e32b5ac"]}],"mendeley":{"formattedCitation":"[12]","plainTextFormattedCitation":"[12]","previouslyFormattedCitation":"[12]"},"properties":{"noteIndex":0},"schema":"https://github.com/citation-style-language/schema/raw/master/csl-citation.json"}</w:instrText>
      </w:r>
      <w:r w:rsidR="00A96FB6">
        <w:rPr>
          <w:rStyle w:val="ab"/>
          <w:b w:val="0"/>
        </w:rPr>
        <w:fldChar w:fldCharType="separate"/>
      </w:r>
      <w:r w:rsidR="00F832D0" w:rsidRPr="00F832D0">
        <w:rPr>
          <w:rStyle w:val="ab"/>
          <w:b w:val="0"/>
          <w:noProof/>
        </w:rPr>
        <w:t>[12]</w:t>
      </w:r>
      <w:r w:rsidR="00A96FB6">
        <w:rPr>
          <w:rStyle w:val="ab"/>
          <w:b w:val="0"/>
        </w:rPr>
        <w:fldChar w:fldCharType="end"/>
      </w:r>
      <w:r w:rsidR="00E74207">
        <w:rPr>
          <w:rStyle w:val="ab"/>
          <w:b w:val="0"/>
        </w:rPr>
        <w:t>,</w:t>
      </w:r>
      <w:r w:rsidRPr="004A458B">
        <w:rPr>
          <w:rStyle w:val="ab"/>
          <w:b w:val="0"/>
        </w:rPr>
        <w:t xml:space="preserve"> пересмотренную </w:t>
      </w:r>
      <w:r w:rsidR="006D12E6">
        <w:rPr>
          <w:rStyle w:val="ab"/>
          <w:b w:val="0"/>
        </w:rPr>
        <w:t>в 2014 г</w:t>
      </w:r>
      <w:r w:rsidR="00F832D0">
        <w:rPr>
          <w:rStyle w:val="ab"/>
          <w:b w:val="0"/>
        </w:rPr>
        <w:t>.</w:t>
      </w:r>
      <w:r w:rsidR="006D12E6">
        <w:rPr>
          <w:rStyle w:val="ab"/>
          <w:b w:val="0"/>
        </w:rPr>
        <w:t xml:space="preserve"> </w:t>
      </w:r>
      <w:r w:rsidR="00A96FB6">
        <w:rPr>
          <w:rStyle w:val="ab"/>
          <w:b w:val="0"/>
        </w:rPr>
        <w:fldChar w:fldCharType="begin" w:fldLock="1"/>
      </w:r>
      <w:r w:rsidR="00131E36">
        <w:rPr>
          <w:rStyle w:val="ab"/>
          <w:b w:val="0"/>
        </w:rPr>
        <w:instrText>ADDIN CSL_CITATION {"citationItems":[{"id":"ITEM-1","itemData":{"DOI":"10.1200/JCO.2015.61.2267","ISSN":"15277755","abstract":"PURPOSE The clinical outcome of multiple myeloma (MM) is heterogeneous. A simple and reliable tool is needed to stratify patients with MM. We combined the International Staging System (ISS) with chromosomal abnormalities (CA) detected by interphase fluorescent in situ hybridization after CD138 plasma cell purification and serum lactate dehydrogenase (LDH) to evaluate their prognostic value in newly diagnosed MM (NDMM). PATIENTS AND METHODS Clinical and laboratory data from 4,445 patients with NDMM enrolled onto 11 international trials were pooled together. The K-adaptive partitioning algorithm was used to define the most appropriate subgroups with homogeneous survival. RESULTS ISS, CA, and LDH data were simultaneously available in 3,060 of 4,445 patients. We defined the following three groups: revised ISS (R-ISS) I (n = 871), including ISS stage I (serum β2-microglobulin level &lt; 3.5 mg/L and serum albumin level ≥ 3.5 g/dL), no high-risk CA [del(17p) and/or t(4;14) and/or t(14;16)], and normal LDH level (less than the upper limit of normal range); R-ISS III (n = 295), including ISS stage III (serum β2-microglobulin level &gt; 5.5 mg/L) and high-risk CA or high LDH level; and R-ISS II (n = 1,894), including all the other possible combinations. At a median follow-up of 46 months, the 5-year OS rate was 82% in the R-ISS I, 62% in the R-ISS II, and 40% in the R-ISS III groups; the 5-year PFS rates were 55%, 36%, and 24%, respectively. CONCLUSION The R-ISS is a simple and powerful prognostic staging system, and we recommend its use in future clinical studies to stratify patients with NDMM effectively with respect to the relative risk to their survival.","author":[{"dropping-particle":"","family":"Palumbo","given":"Antonio","non-dropping-particle":"","parse-names":false,"suffix":""},{"dropping-particle":"","family":"Avet-Loiseau","given":"Hervé","non-dropping-particle":"","parse-names":false,"suffix":""},{"dropping-particle":"","family":"Oliva","given":"Stefania","non-dropping-particle":"","parse-names":false,"suffix":""},{"dropping-particle":"","family":"Lokhorst","given":"Henk M.","non-dropping-particle":"","parse-names":false,"suffix":""},{"dropping-particle":"","family":"Goldschmidt","given":"Hartmut","non-dropping-particle":"","parse-names":false,"suffix":""},{"dropping-particle":"","family":"Rosinol","given":"Laura","non-dropping-particle":"","parse-names":false,"suffix":""},{"dropping-particle":"","family":"Richardson","given":"Paul","non-dropping-particle":"","parse-names":false,"suffix":""},{"dropping-particle":"","family":"Caltagirone","given":"Simona","non-dropping-particle":"","parse-names":false,"suffix":""},{"dropping-particle":"","family":"Lahuerta","given":"Juan José","non-dropping-particle":"","parse-names":false,"suffix":""},{"dropping-particle":"","family":"Facon","given":"Thierry","non-dropping-particle":"","parse-names":false,"suffix":""},{"dropping-particle":"","family":"Bringhen","given":"Sara","non-dropping-particle":"","parse-names":false,"suffix":""},{"dropping-particle":"","family":"Gay","given":"Francesca","non-dropping-particle":"","parse-names":false,"suffix":""},{"dropping-particle":"","family":"Attal","given":"Michel","non-dropping-particle":"","parse-names":false,"suffix":""},{"dropping-particle":"","family":"Passera","given":"Roberto","non-dropping-particle":"","parse-names":false,"suffix":""},{"dropping-particle":"","family":"Spencer","given":"Andrew","non-dropping-particle":"","parse-names":false,"suffix":""},{"dropping-particle":"","family":"Offidani","given":"Massimo","non-dropping-particle":"","parse-names":false,"suffix":""},{"dropping-particle":"","family":"Kumar","given":"Shaji","non-dropping-particle":"","parse-names":false,"suffix":""},{"dropping-particle":"","family":"Musto","given":"Pellegrino","non-dropping-particle":"","parse-names":false,"suffix":""},{"dropping-particle":"","family":"Lonial","given":"Sagar","non-dropping-particle":"","parse-names":false,"suffix":""},{"dropping-particle":"","family":"Petrucci","given":"Maria T.","non-dropping-particle":"","parse-names":false,"suffix":""},{"dropping-particle":"","family":"Orlowski","given":"Robert Z.","non-dropping-particle":"","parse-names":false,"suffix":""},{"dropping-particle":"","family":"Zamagni","given":"Elena","non-dropping-particle":"","parse-names":false,"suffix":""},{"dropping-particle":"","family":"Morgan","given":"Gareth","non-dropping-particle":"","parse-names":false,"suffix":""},{"dropping-particle":"","family":"Dimopoulos","given":"Meletios A.","non-dropping-particle":"","parse-names":false,"suffix":""},{"dropping-particle":"","family":"Durie","given":"Brian G.M.","non-dropping-particle":"","parse-names":false,"suffix":""},{"dropping-particle":"","family":"Anderson","given":"Kenneth C.","non-dropping-particle":"","parse-names":false,"suffix":""},{"dropping-particle":"","family":"Sonneveld","given":"Pieter","non-dropping-particle":"","parse-names":false,"suffix":""},{"dropping-particle":"","family":"Miguel","given":"Jésus San","non-dropping-particle":"","parse-names":false,"suffix":""},{"dropping-particle":"","family":"Cavo","given":"Michele","non-dropping-particle":"","parse-names":false,"suffix":""},{"dropping-particle":"","family":"Rajkumar","given":"S. Vincent","non-dropping-particle":"","parse-names":false,"suffix":""},{"dropping-particle":"","family":"Moreau","given":"Philippe","non-dropping-particle":"","parse-names":false,"suffix":""}],"container-title":"Journal of Clinical Oncology","id":"ITEM-1","issue":"26","issued":{"date-parts":[["2015"]]},"page":"2863-2869","publisher":"American Society of Clinical Oncology","title":"Revised international staging system for multiple myeloma: A report from international myeloma working group","type":"article-journal","volume":"33"},"uris":["http://www.mendeley.com/documents/?uuid=dc5fa189-ca83-351a-8e2c-68a7d7d762af"]}],"mendeley":{"formattedCitation":"[13]","plainTextFormattedCitation":"[13]","previouslyFormattedCitation":"[13]"},"properties":{"noteIndex":0},"schema":"https://github.com/citation-style-language/schema/raw/master/csl-citation.json"}</w:instrText>
      </w:r>
      <w:r w:rsidR="00A96FB6">
        <w:rPr>
          <w:rStyle w:val="ab"/>
          <w:b w:val="0"/>
        </w:rPr>
        <w:fldChar w:fldCharType="separate"/>
      </w:r>
      <w:r w:rsidR="002E3E42" w:rsidRPr="002E3E42">
        <w:rPr>
          <w:rStyle w:val="ab"/>
          <w:b w:val="0"/>
          <w:noProof/>
        </w:rPr>
        <w:t>[13]</w:t>
      </w:r>
      <w:r w:rsidR="00A96FB6">
        <w:rPr>
          <w:rStyle w:val="ab"/>
          <w:b w:val="0"/>
        </w:rPr>
        <w:fldChar w:fldCharType="end"/>
      </w:r>
      <w:r w:rsidRPr="004A458B">
        <w:rPr>
          <w:rStyle w:val="ab"/>
          <w:b w:val="0"/>
        </w:rPr>
        <w:t>.</w:t>
      </w:r>
    </w:p>
    <w:p w:rsidR="004A458B" w:rsidRDefault="004A458B" w:rsidP="00E36DFA">
      <w:pPr>
        <w:pStyle w:val="a3"/>
        <w:spacing w:before="0" w:beforeAutospacing="0" w:after="0" w:afterAutospacing="0" w:line="240" w:lineRule="auto"/>
      </w:pPr>
      <w:r>
        <w:rPr>
          <w:rStyle w:val="ab"/>
        </w:rPr>
        <w:t>Таблица 1.</w:t>
      </w:r>
      <w:r w:rsidR="007A5794">
        <w:rPr>
          <w:rStyle w:val="ab"/>
        </w:rPr>
        <w:t xml:space="preserve"> </w:t>
      </w:r>
      <w:r>
        <w:t xml:space="preserve">Стадии </w:t>
      </w:r>
      <w:r w:rsidR="007A5794">
        <w:t>ММ</w:t>
      </w:r>
      <w:r>
        <w:t xml:space="preserve"> (по B.</w:t>
      </w:r>
      <w:r w:rsidR="001C7270">
        <w:t xml:space="preserve"> </w:t>
      </w:r>
      <w:r>
        <w:t>Durie, S.</w:t>
      </w:r>
      <w:r w:rsidR="001C7270">
        <w:t xml:space="preserve"> </w:t>
      </w:r>
      <w:r>
        <w:t>Salmon)</w:t>
      </w:r>
    </w:p>
    <w:tbl>
      <w:tblPr>
        <w:tblW w:w="0" w:type="auto"/>
        <w:tblInd w:w="-70" w:type="dxa"/>
        <w:tblLayout w:type="fixed"/>
        <w:tblLook w:val="0000" w:firstRow="0" w:lastRow="0" w:firstColumn="0" w:lastColumn="0" w:noHBand="0" w:noVBand="0"/>
      </w:tblPr>
      <w:tblGrid>
        <w:gridCol w:w="1161"/>
        <w:gridCol w:w="5670"/>
        <w:gridCol w:w="2429"/>
      </w:tblGrid>
      <w:tr w:rsidR="00BF4E7F" w:rsidRPr="00890289" w:rsidTr="00E36DFA">
        <w:trPr>
          <w:trHeight w:val="674"/>
        </w:trPr>
        <w:tc>
          <w:tcPr>
            <w:tcW w:w="1161" w:type="dxa"/>
            <w:tcBorders>
              <w:top w:val="single" w:sz="4" w:space="0" w:color="000000"/>
              <w:left w:val="single" w:sz="4" w:space="0" w:color="000000"/>
              <w:bottom w:val="single" w:sz="4" w:space="0" w:color="000000"/>
            </w:tcBorders>
            <w:shd w:val="clear" w:color="auto" w:fill="auto"/>
          </w:tcPr>
          <w:p w:rsidR="00BF4E7F" w:rsidRPr="001C7270" w:rsidRDefault="00BF4E7F" w:rsidP="00E36DFA">
            <w:pPr>
              <w:snapToGrid w:val="0"/>
              <w:spacing w:before="0" w:after="0" w:line="240" w:lineRule="auto"/>
              <w:rPr>
                <w:rFonts w:eastAsia="Times New Roman"/>
                <w:szCs w:val="24"/>
              </w:rPr>
            </w:pPr>
            <w:r w:rsidRPr="00BA760E">
              <w:rPr>
                <w:rFonts w:eastAsia="Times New Roman"/>
                <w:szCs w:val="24"/>
                <w:lang w:val="en-US"/>
              </w:rPr>
              <w:t>Стади</w:t>
            </w:r>
            <w:r w:rsidR="001C7270">
              <w:rPr>
                <w:rFonts w:eastAsia="Times New Roman"/>
                <w:szCs w:val="24"/>
              </w:rPr>
              <w:t>я</w:t>
            </w:r>
          </w:p>
        </w:tc>
        <w:tc>
          <w:tcPr>
            <w:tcW w:w="5670" w:type="dxa"/>
            <w:tcBorders>
              <w:top w:val="single" w:sz="4" w:space="0" w:color="000000"/>
              <w:left w:val="single" w:sz="4" w:space="0" w:color="000000"/>
              <w:bottom w:val="single" w:sz="4" w:space="0" w:color="000000"/>
            </w:tcBorders>
            <w:shd w:val="clear" w:color="auto" w:fill="auto"/>
          </w:tcPr>
          <w:p w:rsidR="00BF4E7F" w:rsidRPr="00BA760E" w:rsidRDefault="00BF4E7F" w:rsidP="00E36DFA">
            <w:pPr>
              <w:snapToGrid w:val="0"/>
              <w:spacing w:before="0" w:after="0" w:line="240" w:lineRule="auto"/>
              <w:jc w:val="left"/>
              <w:rPr>
                <w:rFonts w:eastAsia="Times New Roman"/>
                <w:szCs w:val="24"/>
              </w:rPr>
            </w:pPr>
            <w:r w:rsidRPr="00BA760E">
              <w:rPr>
                <w:rFonts w:eastAsia="Times New Roman"/>
                <w:szCs w:val="24"/>
              </w:rPr>
              <w:t>Признаки</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lang w:val="en-US"/>
              </w:rPr>
            </w:pPr>
            <w:r w:rsidRPr="00BA760E">
              <w:rPr>
                <w:rFonts w:eastAsia="Times New Roman"/>
                <w:szCs w:val="24"/>
              </w:rPr>
              <w:t>Клеточная масса</w:t>
            </w:r>
            <w:r w:rsidRPr="00BA760E">
              <w:rPr>
                <w:rFonts w:eastAsia="Times New Roman"/>
                <w:szCs w:val="24"/>
                <w:lang w:val="en-US"/>
              </w:rPr>
              <w:t>,</w:t>
            </w:r>
            <w:r w:rsidRPr="00BA760E">
              <w:rPr>
                <w:rFonts w:eastAsia="Times New Roman"/>
                <w:szCs w:val="24"/>
              </w:rPr>
              <w:t xml:space="preserve"> 10</w:t>
            </w:r>
            <w:r w:rsidRPr="00BA760E">
              <w:rPr>
                <w:rFonts w:eastAsia="Times New Roman"/>
                <w:szCs w:val="24"/>
                <w:vertAlign w:val="superscript"/>
              </w:rPr>
              <w:t>12</w:t>
            </w:r>
            <w:r w:rsidRPr="00BA760E">
              <w:rPr>
                <w:rFonts w:eastAsia="Times New Roman"/>
                <w:szCs w:val="24"/>
                <w:lang w:val="en-US"/>
              </w:rPr>
              <w:t>/м</w:t>
            </w:r>
            <w:r w:rsidRPr="00BA760E">
              <w:rPr>
                <w:rFonts w:eastAsia="Times New Roman"/>
                <w:szCs w:val="24"/>
                <w:vertAlign w:val="superscript"/>
                <w:lang w:val="en-US"/>
              </w:rPr>
              <w:t>2</w:t>
            </w:r>
          </w:p>
        </w:tc>
      </w:tr>
      <w:tr w:rsidR="00BF4E7F" w:rsidRPr="00890289" w:rsidTr="00E36DFA">
        <w:tc>
          <w:tcPr>
            <w:tcW w:w="1161" w:type="dxa"/>
            <w:tcBorders>
              <w:top w:val="single" w:sz="4" w:space="0" w:color="000000"/>
              <w:lef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rPr>
            </w:pPr>
            <w:r w:rsidRPr="00BA760E">
              <w:rPr>
                <w:rFonts w:eastAsia="Times New Roman"/>
                <w:szCs w:val="24"/>
                <w:lang w:val="en-US"/>
              </w:rPr>
              <w:t>I</w:t>
            </w:r>
          </w:p>
        </w:tc>
        <w:tc>
          <w:tcPr>
            <w:tcW w:w="5670" w:type="dxa"/>
            <w:tcBorders>
              <w:top w:val="single" w:sz="4" w:space="0" w:color="000000"/>
              <w:left w:val="single" w:sz="4" w:space="0" w:color="000000"/>
            </w:tcBorders>
            <w:shd w:val="clear" w:color="auto" w:fill="auto"/>
          </w:tcPr>
          <w:p w:rsidR="00BF4E7F" w:rsidRPr="007A5794" w:rsidRDefault="00BF4E7F" w:rsidP="00E36DFA">
            <w:pPr>
              <w:snapToGrid w:val="0"/>
              <w:spacing w:before="0" w:after="0" w:line="240" w:lineRule="auto"/>
              <w:jc w:val="left"/>
              <w:rPr>
                <w:rFonts w:eastAsia="Times New Roman"/>
                <w:szCs w:val="24"/>
              </w:rPr>
            </w:pPr>
            <w:r w:rsidRPr="00BA760E">
              <w:rPr>
                <w:rFonts w:eastAsia="Times New Roman"/>
                <w:szCs w:val="24"/>
              </w:rPr>
              <w:t>Совокупность следующих признаков</w:t>
            </w:r>
            <w:r w:rsidRPr="007A5794">
              <w:rPr>
                <w:rFonts w:eastAsia="Times New Roman"/>
                <w:szCs w:val="24"/>
              </w:rPr>
              <w:t>:</w:t>
            </w:r>
          </w:p>
        </w:tc>
        <w:tc>
          <w:tcPr>
            <w:tcW w:w="2429" w:type="dxa"/>
            <w:tcBorders>
              <w:top w:val="single" w:sz="4" w:space="0" w:color="000000"/>
              <w:left w:val="single" w:sz="4" w:space="0" w:color="000000"/>
              <w:righ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rPr>
            </w:pPr>
            <w:r w:rsidRPr="007A5794">
              <w:rPr>
                <w:rFonts w:eastAsia="Times New Roman"/>
                <w:szCs w:val="24"/>
              </w:rPr>
              <w:t>&lt;0,6</w:t>
            </w:r>
          </w:p>
        </w:tc>
      </w:tr>
      <w:tr w:rsidR="00BF4E7F" w:rsidRPr="00890289" w:rsidTr="00E36DFA">
        <w:tc>
          <w:tcPr>
            <w:tcW w:w="1161" w:type="dxa"/>
            <w:tcBorders>
              <w:lef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rsidR="00BF4E7F" w:rsidRPr="00BA760E" w:rsidRDefault="007A5794" w:rsidP="00E36DFA">
            <w:pPr>
              <w:suppressAutoHyphens/>
              <w:snapToGrid w:val="0"/>
              <w:spacing w:before="0" w:after="0" w:line="240" w:lineRule="auto"/>
              <w:jc w:val="left"/>
              <w:rPr>
                <w:rFonts w:eastAsia="Times New Roman"/>
                <w:szCs w:val="24"/>
              </w:rPr>
            </w:pPr>
            <w:r>
              <w:rPr>
                <w:rFonts w:eastAsia="Times New Roman"/>
                <w:szCs w:val="24"/>
              </w:rPr>
              <w:t xml:space="preserve">1. </w:t>
            </w:r>
            <w:r w:rsidR="00496D81">
              <w:rPr>
                <w:rFonts w:eastAsia="Times New Roman"/>
                <w:szCs w:val="24"/>
              </w:rPr>
              <w:t>Уровень г</w:t>
            </w:r>
            <w:r w:rsidR="00BF4E7F" w:rsidRPr="00BA760E">
              <w:rPr>
                <w:rFonts w:eastAsia="Times New Roman"/>
                <w:szCs w:val="24"/>
              </w:rPr>
              <w:t>емоглобин</w:t>
            </w:r>
            <w:r w:rsidR="00496D81">
              <w:rPr>
                <w:rFonts w:eastAsia="Times New Roman"/>
                <w:szCs w:val="24"/>
              </w:rPr>
              <w:t>а</w:t>
            </w:r>
            <w:r w:rsidR="001C7270">
              <w:rPr>
                <w:rFonts w:eastAsia="Times New Roman"/>
                <w:szCs w:val="24"/>
              </w:rPr>
              <w:t xml:space="preserve"> </w:t>
            </w:r>
            <w:r w:rsidR="00BF4E7F" w:rsidRPr="007A5794">
              <w:rPr>
                <w:rFonts w:eastAsia="Times New Roman"/>
                <w:szCs w:val="24"/>
              </w:rPr>
              <w:t>&gt;10 г</w:t>
            </w:r>
            <w:r w:rsidR="00BF4E7F" w:rsidRPr="00BA760E">
              <w:rPr>
                <w:rFonts w:eastAsia="Times New Roman"/>
                <w:szCs w:val="24"/>
              </w:rPr>
              <w:t>/дл</w:t>
            </w:r>
          </w:p>
        </w:tc>
        <w:tc>
          <w:tcPr>
            <w:tcW w:w="2429" w:type="dxa"/>
            <w:tcBorders>
              <w:left w:val="single" w:sz="4" w:space="0" w:color="000000"/>
              <w:righ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rPr>
            </w:pPr>
            <w:r w:rsidRPr="00BA760E">
              <w:rPr>
                <w:rFonts w:eastAsia="Times New Roman"/>
                <w:szCs w:val="24"/>
              </w:rPr>
              <w:t>(низкая</w:t>
            </w:r>
            <w:r w:rsidRPr="007A5794">
              <w:rPr>
                <w:rFonts w:eastAsia="Times New Roman"/>
                <w:szCs w:val="24"/>
              </w:rPr>
              <w:t>)</w:t>
            </w:r>
          </w:p>
        </w:tc>
      </w:tr>
      <w:tr w:rsidR="00BF4E7F" w:rsidRPr="00890289" w:rsidTr="00E36DFA">
        <w:tc>
          <w:tcPr>
            <w:tcW w:w="1161" w:type="dxa"/>
            <w:tcBorders>
              <w:lef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rsidR="00BF4E7F" w:rsidRPr="007A5794" w:rsidRDefault="007A5794" w:rsidP="00E36DFA">
            <w:pPr>
              <w:suppressAutoHyphens/>
              <w:snapToGrid w:val="0"/>
              <w:spacing w:before="0" w:after="0" w:line="240" w:lineRule="auto"/>
              <w:jc w:val="left"/>
              <w:rPr>
                <w:rFonts w:eastAsia="Times New Roman"/>
                <w:szCs w:val="24"/>
              </w:rPr>
            </w:pPr>
            <w:r>
              <w:rPr>
                <w:rFonts w:eastAsia="Times New Roman"/>
                <w:szCs w:val="24"/>
              </w:rPr>
              <w:t xml:space="preserve">2. </w:t>
            </w:r>
            <w:r w:rsidR="00BF4E7F" w:rsidRPr="00BA760E">
              <w:rPr>
                <w:rFonts w:eastAsia="Times New Roman"/>
                <w:szCs w:val="24"/>
              </w:rPr>
              <w:t>Нормальный уровень кальция сыворотки</w:t>
            </w:r>
          </w:p>
        </w:tc>
        <w:tc>
          <w:tcPr>
            <w:tcW w:w="2429" w:type="dxa"/>
            <w:tcBorders>
              <w:left w:val="single" w:sz="4" w:space="0" w:color="000000"/>
              <w:right w:val="single" w:sz="4" w:space="0" w:color="000000"/>
            </w:tcBorders>
            <w:shd w:val="clear" w:color="auto" w:fill="auto"/>
          </w:tcPr>
          <w:p w:rsidR="00BF4E7F" w:rsidRPr="007A5794" w:rsidRDefault="00BF4E7F" w:rsidP="00E36DFA">
            <w:pPr>
              <w:snapToGrid w:val="0"/>
              <w:spacing w:before="0" w:after="0" w:line="240" w:lineRule="auto"/>
              <w:jc w:val="center"/>
              <w:rPr>
                <w:rFonts w:eastAsia="Times New Roman"/>
                <w:szCs w:val="24"/>
              </w:rPr>
            </w:pPr>
          </w:p>
        </w:tc>
      </w:tr>
      <w:tr w:rsidR="00BF4E7F" w:rsidRPr="00890289" w:rsidTr="00E36DFA">
        <w:tc>
          <w:tcPr>
            <w:tcW w:w="1161" w:type="dxa"/>
            <w:tcBorders>
              <w:left w:val="single" w:sz="4" w:space="0" w:color="000000"/>
            </w:tcBorders>
            <w:shd w:val="clear" w:color="auto" w:fill="auto"/>
          </w:tcPr>
          <w:p w:rsidR="00BF4E7F" w:rsidRPr="007A5794"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rsidR="00BF4E7F" w:rsidRPr="00BA760E" w:rsidRDefault="007A5794" w:rsidP="00E36DFA">
            <w:pPr>
              <w:suppressAutoHyphens/>
              <w:snapToGrid w:val="0"/>
              <w:spacing w:before="0" w:after="0" w:line="240" w:lineRule="auto"/>
              <w:jc w:val="left"/>
              <w:rPr>
                <w:rFonts w:eastAsia="Times New Roman"/>
                <w:szCs w:val="24"/>
              </w:rPr>
            </w:pPr>
            <w:r>
              <w:rPr>
                <w:rFonts w:eastAsia="Times New Roman"/>
                <w:szCs w:val="24"/>
              </w:rPr>
              <w:t>3. Рентгенологически</w:t>
            </w:r>
            <w:r w:rsidR="00BF4E7F" w:rsidRPr="00BA760E">
              <w:rPr>
                <w:rFonts w:eastAsia="Times New Roman"/>
                <w:szCs w:val="24"/>
              </w:rPr>
              <w:t xml:space="preserve"> нормальная структура кост</w:t>
            </w:r>
            <w:r w:rsidR="001C7270">
              <w:rPr>
                <w:rFonts w:eastAsia="Times New Roman"/>
                <w:szCs w:val="24"/>
              </w:rPr>
              <w:t>ей или одиночный очаг поражения</w:t>
            </w:r>
          </w:p>
        </w:tc>
        <w:tc>
          <w:tcPr>
            <w:tcW w:w="2429" w:type="dxa"/>
            <w:tcBorders>
              <w:left w:val="single" w:sz="4" w:space="0" w:color="000000"/>
              <w:righ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rPr>
            </w:pPr>
          </w:p>
        </w:tc>
      </w:tr>
      <w:tr w:rsidR="00BF4E7F" w:rsidRPr="00890289" w:rsidTr="00E36DFA">
        <w:tc>
          <w:tcPr>
            <w:tcW w:w="1161" w:type="dxa"/>
            <w:tcBorders>
              <w:lef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rsidR="00BF4E7F" w:rsidRPr="007A5794" w:rsidRDefault="007A5794" w:rsidP="00E36DFA">
            <w:pPr>
              <w:suppressAutoHyphens/>
              <w:snapToGrid w:val="0"/>
              <w:spacing w:before="0" w:after="0" w:line="240" w:lineRule="auto"/>
              <w:jc w:val="left"/>
              <w:rPr>
                <w:rFonts w:eastAsia="Times New Roman"/>
                <w:szCs w:val="24"/>
              </w:rPr>
            </w:pPr>
            <w:r>
              <w:rPr>
                <w:rFonts w:eastAsia="Times New Roman"/>
                <w:szCs w:val="24"/>
              </w:rPr>
              <w:t xml:space="preserve">4. </w:t>
            </w:r>
            <w:r w:rsidR="00BF4E7F" w:rsidRPr="00BA760E">
              <w:rPr>
                <w:rFonts w:eastAsia="Times New Roman"/>
                <w:szCs w:val="24"/>
              </w:rPr>
              <w:t>Низкий уровень</w:t>
            </w:r>
            <w:r w:rsidR="00BF4E7F" w:rsidRPr="007A5794">
              <w:rPr>
                <w:rFonts w:eastAsia="Times New Roman"/>
                <w:szCs w:val="24"/>
              </w:rPr>
              <w:t xml:space="preserve"> М</w:t>
            </w:r>
            <w:r w:rsidR="00BF4E7F" w:rsidRPr="00BA760E">
              <w:rPr>
                <w:rFonts w:eastAsia="Times New Roman"/>
                <w:szCs w:val="24"/>
              </w:rPr>
              <w:t>-протеина</w:t>
            </w:r>
            <w:r w:rsidR="00BF4E7F" w:rsidRPr="007A5794">
              <w:rPr>
                <w:rFonts w:eastAsia="Times New Roman"/>
                <w:szCs w:val="24"/>
              </w:rPr>
              <w:t>:</w:t>
            </w:r>
          </w:p>
        </w:tc>
        <w:tc>
          <w:tcPr>
            <w:tcW w:w="2429" w:type="dxa"/>
            <w:tcBorders>
              <w:left w:val="single" w:sz="4" w:space="0" w:color="000000"/>
              <w:right w:val="single" w:sz="4" w:space="0" w:color="000000"/>
            </w:tcBorders>
            <w:shd w:val="clear" w:color="auto" w:fill="auto"/>
          </w:tcPr>
          <w:p w:rsidR="00BF4E7F" w:rsidRPr="007A5794" w:rsidRDefault="00BF4E7F" w:rsidP="00E36DFA">
            <w:pPr>
              <w:snapToGrid w:val="0"/>
              <w:spacing w:before="0" w:after="0" w:line="240" w:lineRule="auto"/>
              <w:jc w:val="center"/>
              <w:rPr>
                <w:rFonts w:eastAsia="Times New Roman"/>
                <w:szCs w:val="24"/>
              </w:rPr>
            </w:pPr>
          </w:p>
        </w:tc>
      </w:tr>
      <w:tr w:rsidR="00BF4E7F" w:rsidRPr="00890289" w:rsidTr="00E36DFA">
        <w:tc>
          <w:tcPr>
            <w:tcW w:w="1161" w:type="dxa"/>
            <w:tcBorders>
              <w:left w:val="single" w:sz="4" w:space="0" w:color="000000"/>
            </w:tcBorders>
            <w:shd w:val="clear" w:color="auto" w:fill="auto"/>
          </w:tcPr>
          <w:p w:rsidR="00BF4E7F" w:rsidRPr="007A5794"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rsidR="00BF4E7F" w:rsidRPr="001C7270" w:rsidRDefault="007A5794" w:rsidP="00E36DFA">
            <w:pPr>
              <w:suppressAutoHyphens/>
              <w:snapToGrid w:val="0"/>
              <w:spacing w:before="0" w:after="0" w:line="240" w:lineRule="auto"/>
              <w:jc w:val="left"/>
              <w:rPr>
                <w:rFonts w:eastAsia="Times New Roman"/>
                <w:szCs w:val="24"/>
              </w:rPr>
            </w:pPr>
            <w:r>
              <w:rPr>
                <w:rFonts w:eastAsia="Times New Roman"/>
                <w:szCs w:val="24"/>
              </w:rPr>
              <w:t xml:space="preserve">а) </w:t>
            </w:r>
            <w:r w:rsidR="00BF4E7F" w:rsidRPr="00BA760E">
              <w:rPr>
                <w:rFonts w:eastAsia="Times New Roman"/>
                <w:szCs w:val="24"/>
                <w:lang w:val="en-US"/>
              </w:rPr>
              <w:t>IgG</w:t>
            </w:r>
            <w:r w:rsidR="00BF4E7F" w:rsidRPr="007A5794">
              <w:rPr>
                <w:rFonts w:eastAsia="Times New Roman"/>
                <w:szCs w:val="24"/>
              </w:rPr>
              <w:t xml:space="preserve"> &lt;50 г/л</w:t>
            </w:r>
            <w:r w:rsidR="001C7270">
              <w:rPr>
                <w:rFonts w:eastAsia="Times New Roman"/>
                <w:szCs w:val="24"/>
              </w:rPr>
              <w:t>;</w:t>
            </w:r>
          </w:p>
        </w:tc>
        <w:tc>
          <w:tcPr>
            <w:tcW w:w="2429" w:type="dxa"/>
            <w:tcBorders>
              <w:left w:val="single" w:sz="4" w:space="0" w:color="000000"/>
              <w:right w:val="single" w:sz="4" w:space="0" w:color="000000"/>
            </w:tcBorders>
            <w:shd w:val="clear" w:color="auto" w:fill="auto"/>
          </w:tcPr>
          <w:p w:rsidR="00BF4E7F" w:rsidRPr="007A5794" w:rsidRDefault="00BF4E7F" w:rsidP="00E36DFA">
            <w:pPr>
              <w:snapToGrid w:val="0"/>
              <w:spacing w:before="0" w:after="0" w:line="240" w:lineRule="auto"/>
              <w:jc w:val="center"/>
              <w:rPr>
                <w:rFonts w:eastAsia="Times New Roman"/>
                <w:szCs w:val="24"/>
              </w:rPr>
            </w:pPr>
          </w:p>
        </w:tc>
      </w:tr>
      <w:tr w:rsidR="00BF4E7F" w:rsidRPr="00890289" w:rsidTr="00E36DFA">
        <w:tc>
          <w:tcPr>
            <w:tcW w:w="1161" w:type="dxa"/>
            <w:tcBorders>
              <w:left w:val="single" w:sz="4" w:space="0" w:color="000000"/>
            </w:tcBorders>
            <w:shd w:val="clear" w:color="auto" w:fill="auto"/>
          </w:tcPr>
          <w:p w:rsidR="00BF4E7F" w:rsidRPr="007A5794"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rsidR="00BF4E7F" w:rsidRPr="007A5794" w:rsidRDefault="004C0027" w:rsidP="00E36DFA">
            <w:pPr>
              <w:suppressAutoHyphens/>
              <w:snapToGrid w:val="0"/>
              <w:spacing w:before="0" w:after="0" w:line="240" w:lineRule="auto"/>
              <w:jc w:val="left"/>
              <w:rPr>
                <w:rFonts w:eastAsia="Times New Roman"/>
                <w:szCs w:val="24"/>
              </w:rPr>
            </w:pPr>
            <w:r>
              <w:rPr>
                <w:rFonts w:eastAsia="Times New Roman"/>
                <w:szCs w:val="24"/>
              </w:rPr>
              <w:t xml:space="preserve">б) </w:t>
            </w:r>
            <w:r w:rsidR="00BF4E7F" w:rsidRPr="00BA760E">
              <w:rPr>
                <w:rFonts w:eastAsia="Times New Roman"/>
                <w:szCs w:val="24"/>
                <w:lang w:val="en-US"/>
              </w:rPr>
              <w:t>IgA</w:t>
            </w:r>
            <w:r w:rsidR="00BF4E7F" w:rsidRPr="007A5794">
              <w:rPr>
                <w:rFonts w:eastAsia="Times New Roman"/>
                <w:szCs w:val="24"/>
              </w:rPr>
              <w:t xml:space="preserve"> &lt;30 г/л</w:t>
            </w:r>
          </w:p>
        </w:tc>
        <w:tc>
          <w:tcPr>
            <w:tcW w:w="2429" w:type="dxa"/>
            <w:tcBorders>
              <w:left w:val="single" w:sz="4" w:space="0" w:color="000000"/>
              <w:right w:val="single" w:sz="4" w:space="0" w:color="000000"/>
            </w:tcBorders>
            <w:shd w:val="clear" w:color="auto" w:fill="auto"/>
          </w:tcPr>
          <w:p w:rsidR="00BF4E7F" w:rsidRPr="007A5794" w:rsidRDefault="00BF4E7F" w:rsidP="00E36DFA">
            <w:pPr>
              <w:snapToGrid w:val="0"/>
              <w:spacing w:before="0" w:after="0" w:line="240" w:lineRule="auto"/>
              <w:jc w:val="center"/>
              <w:rPr>
                <w:rFonts w:eastAsia="Times New Roman"/>
                <w:szCs w:val="24"/>
              </w:rPr>
            </w:pPr>
          </w:p>
        </w:tc>
      </w:tr>
      <w:tr w:rsidR="00BF4E7F" w:rsidRPr="00890289" w:rsidTr="00E36DFA">
        <w:tc>
          <w:tcPr>
            <w:tcW w:w="1161" w:type="dxa"/>
            <w:tcBorders>
              <w:left w:val="single" w:sz="4" w:space="0" w:color="000000"/>
              <w:bottom w:val="single" w:sz="4" w:space="0" w:color="000000"/>
            </w:tcBorders>
            <w:shd w:val="clear" w:color="auto" w:fill="auto"/>
          </w:tcPr>
          <w:p w:rsidR="00BF4E7F" w:rsidRPr="007A5794" w:rsidRDefault="00BF4E7F" w:rsidP="00E36DFA">
            <w:pPr>
              <w:snapToGrid w:val="0"/>
              <w:spacing w:before="0" w:after="0" w:line="240" w:lineRule="auto"/>
              <w:jc w:val="center"/>
              <w:rPr>
                <w:rFonts w:eastAsia="Times New Roman"/>
                <w:szCs w:val="24"/>
              </w:rPr>
            </w:pPr>
          </w:p>
        </w:tc>
        <w:tc>
          <w:tcPr>
            <w:tcW w:w="5670" w:type="dxa"/>
            <w:tcBorders>
              <w:left w:val="single" w:sz="4" w:space="0" w:color="000000"/>
              <w:bottom w:val="single" w:sz="4" w:space="0" w:color="000000"/>
            </w:tcBorders>
            <w:shd w:val="clear" w:color="auto" w:fill="auto"/>
          </w:tcPr>
          <w:p w:rsidR="00BF4E7F" w:rsidRPr="00BA760E" w:rsidRDefault="00BF4E7F" w:rsidP="00E36DFA">
            <w:pPr>
              <w:suppressAutoHyphens/>
              <w:snapToGrid w:val="0"/>
              <w:spacing w:before="0" w:after="0" w:line="240" w:lineRule="auto"/>
              <w:jc w:val="left"/>
              <w:rPr>
                <w:rFonts w:eastAsia="Times New Roman"/>
                <w:szCs w:val="24"/>
              </w:rPr>
            </w:pPr>
            <w:r w:rsidRPr="00BA760E">
              <w:rPr>
                <w:rFonts w:eastAsia="Times New Roman"/>
                <w:szCs w:val="24"/>
              </w:rPr>
              <w:t>Белок Бенс</w:t>
            </w:r>
            <w:r w:rsidR="004C0027">
              <w:rPr>
                <w:rFonts w:eastAsia="Times New Roman"/>
                <w:szCs w:val="24"/>
              </w:rPr>
              <w:t>-</w:t>
            </w:r>
            <w:r w:rsidRPr="00BA760E">
              <w:rPr>
                <w:rFonts w:eastAsia="Times New Roman"/>
                <w:szCs w:val="24"/>
              </w:rPr>
              <w:t>Джонса &lt;4</w:t>
            </w:r>
            <w:r w:rsidR="001C7270">
              <w:rPr>
                <w:rFonts w:eastAsia="Times New Roman"/>
                <w:szCs w:val="24"/>
              </w:rPr>
              <w:t> </w:t>
            </w:r>
            <w:r w:rsidRPr="00BA760E">
              <w:rPr>
                <w:rFonts w:eastAsia="Times New Roman"/>
                <w:szCs w:val="24"/>
              </w:rPr>
              <w:t>г/сут</w:t>
            </w:r>
          </w:p>
        </w:tc>
        <w:tc>
          <w:tcPr>
            <w:tcW w:w="2429" w:type="dxa"/>
            <w:tcBorders>
              <w:left w:val="single" w:sz="4" w:space="0" w:color="000000"/>
              <w:bottom w:val="single" w:sz="4" w:space="0" w:color="000000"/>
              <w:righ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rPr>
            </w:pPr>
          </w:p>
        </w:tc>
      </w:tr>
      <w:tr w:rsidR="00BF4E7F" w:rsidRPr="00890289" w:rsidTr="00E36DFA">
        <w:tc>
          <w:tcPr>
            <w:tcW w:w="1161" w:type="dxa"/>
            <w:tcBorders>
              <w:top w:val="single" w:sz="4" w:space="0" w:color="000000"/>
              <w:left w:val="single" w:sz="4" w:space="0" w:color="000000"/>
              <w:bottom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rPr>
            </w:pPr>
            <w:r w:rsidRPr="00BA760E">
              <w:rPr>
                <w:rFonts w:eastAsia="Times New Roman"/>
                <w:szCs w:val="24"/>
                <w:lang w:val="en-US"/>
              </w:rPr>
              <w:t>II</w:t>
            </w:r>
          </w:p>
        </w:tc>
        <w:tc>
          <w:tcPr>
            <w:tcW w:w="5670" w:type="dxa"/>
            <w:tcBorders>
              <w:top w:val="single" w:sz="4" w:space="0" w:color="000000"/>
              <w:left w:val="single" w:sz="4" w:space="0" w:color="000000"/>
              <w:bottom w:val="single" w:sz="4" w:space="0" w:color="000000"/>
            </w:tcBorders>
            <w:shd w:val="clear" w:color="auto" w:fill="auto"/>
          </w:tcPr>
          <w:p w:rsidR="00BF4E7F" w:rsidRPr="00BA760E" w:rsidRDefault="00BF4E7F" w:rsidP="00E36DFA">
            <w:pPr>
              <w:snapToGrid w:val="0"/>
              <w:spacing w:before="0" w:after="0" w:line="240" w:lineRule="auto"/>
              <w:jc w:val="left"/>
              <w:rPr>
                <w:rFonts w:eastAsia="Times New Roman"/>
                <w:szCs w:val="24"/>
              </w:rPr>
            </w:pPr>
            <w:r w:rsidRPr="00BA760E">
              <w:rPr>
                <w:rFonts w:eastAsia="Times New Roman"/>
                <w:szCs w:val="24"/>
              </w:rPr>
              <w:t xml:space="preserve">Показатели, не соответствующие ни </w:t>
            </w:r>
            <w:r w:rsidRPr="00BA760E">
              <w:rPr>
                <w:rFonts w:eastAsia="Times New Roman"/>
                <w:szCs w:val="24"/>
                <w:lang w:val="en-US"/>
              </w:rPr>
              <w:t>I</w:t>
            </w:r>
            <w:r w:rsidRPr="00BA760E">
              <w:rPr>
                <w:rFonts w:eastAsia="Times New Roman"/>
                <w:szCs w:val="24"/>
              </w:rPr>
              <w:t xml:space="preserve">, ни </w:t>
            </w:r>
            <w:r w:rsidRPr="00BA760E">
              <w:rPr>
                <w:rFonts w:eastAsia="Times New Roman"/>
                <w:szCs w:val="24"/>
                <w:lang w:val="en-US"/>
              </w:rPr>
              <w:t>III</w:t>
            </w:r>
            <w:r w:rsidRPr="00BA760E">
              <w:rPr>
                <w:rFonts w:eastAsia="Times New Roman"/>
                <w:szCs w:val="24"/>
              </w:rPr>
              <w:t xml:space="preserve"> стадиям</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rPr>
            </w:pPr>
            <w:r w:rsidRPr="00BA760E">
              <w:rPr>
                <w:rFonts w:eastAsia="Times New Roman"/>
                <w:szCs w:val="24"/>
                <w:lang w:val="en-US"/>
              </w:rPr>
              <w:t>0,6</w:t>
            </w:r>
            <w:r w:rsidR="00496D81">
              <w:rPr>
                <w:rFonts w:eastAsia="Times New Roman"/>
                <w:szCs w:val="24"/>
              </w:rPr>
              <w:t>−</w:t>
            </w:r>
            <w:r w:rsidRPr="00BA760E">
              <w:rPr>
                <w:rFonts w:eastAsia="Times New Roman"/>
                <w:szCs w:val="24"/>
                <w:lang w:val="en-US"/>
              </w:rPr>
              <w:t>1,2</w:t>
            </w:r>
          </w:p>
          <w:p w:rsidR="00BF4E7F" w:rsidRPr="00BA760E" w:rsidRDefault="00BF4E7F" w:rsidP="00E36DFA">
            <w:pPr>
              <w:spacing w:before="0" w:after="0" w:line="240" w:lineRule="auto"/>
              <w:jc w:val="center"/>
              <w:rPr>
                <w:rFonts w:eastAsia="Times New Roman"/>
                <w:szCs w:val="24"/>
                <w:lang w:val="en-US"/>
              </w:rPr>
            </w:pPr>
            <w:r w:rsidRPr="00BA760E">
              <w:rPr>
                <w:rFonts w:eastAsia="Times New Roman"/>
                <w:szCs w:val="24"/>
              </w:rPr>
              <w:t>(средняя</w:t>
            </w:r>
            <w:r w:rsidRPr="00BA760E">
              <w:rPr>
                <w:rFonts w:eastAsia="Times New Roman"/>
                <w:szCs w:val="24"/>
                <w:lang w:val="en-US"/>
              </w:rPr>
              <w:t>)</w:t>
            </w:r>
          </w:p>
        </w:tc>
      </w:tr>
      <w:tr w:rsidR="00BF4E7F" w:rsidRPr="00890289" w:rsidTr="00E36DFA">
        <w:tc>
          <w:tcPr>
            <w:tcW w:w="1161" w:type="dxa"/>
            <w:tcBorders>
              <w:top w:val="single" w:sz="4" w:space="0" w:color="000000"/>
              <w:lef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rPr>
            </w:pPr>
            <w:r w:rsidRPr="00BA760E">
              <w:rPr>
                <w:rFonts w:eastAsia="Times New Roman"/>
                <w:szCs w:val="24"/>
                <w:lang w:val="en-US"/>
              </w:rPr>
              <w:t>III</w:t>
            </w:r>
          </w:p>
        </w:tc>
        <w:tc>
          <w:tcPr>
            <w:tcW w:w="5670" w:type="dxa"/>
            <w:tcBorders>
              <w:top w:val="single" w:sz="4" w:space="0" w:color="000000"/>
              <w:left w:val="single" w:sz="4" w:space="0" w:color="000000"/>
            </w:tcBorders>
            <w:shd w:val="clear" w:color="auto" w:fill="auto"/>
          </w:tcPr>
          <w:p w:rsidR="00BF4E7F" w:rsidRPr="00BA760E" w:rsidRDefault="00BF4E7F" w:rsidP="00E36DFA">
            <w:pPr>
              <w:snapToGrid w:val="0"/>
              <w:spacing w:before="0" w:after="0" w:line="240" w:lineRule="auto"/>
              <w:jc w:val="left"/>
              <w:rPr>
                <w:rFonts w:eastAsia="Times New Roman"/>
                <w:szCs w:val="24"/>
              </w:rPr>
            </w:pPr>
            <w:r w:rsidRPr="00BA760E">
              <w:rPr>
                <w:rFonts w:eastAsia="Times New Roman"/>
                <w:szCs w:val="24"/>
              </w:rPr>
              <w:t>Один или более из следующих признаков:</w:t>
            </w:r>
          </w:p>
        </w:tc>
        <w:tc>
          <w:tcPr>
            <w:tcW w:w="2429" w:type="dxa"/>
            <w:tcBorders>
              <w:top w:val="single" w:sz="4" w:space="0" w:color="000000"/>
              <w:left w:val="single" w:sz="4" w:space="0" w:color="000000"/>
              <w:righ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rPr>
            </w:pPr>
            <w:r w:rsidRPr="00BA760E">
              <w:rPr>
                <w:rFonts w:eastAsia="Times New Roman"/>
                <w:szCs w:val="24"/>
                <w:lang w:val="en-US"/>
              </w:rPr>
              <w:t>&gt;1,2</w:t>
            </w:r>
          </w:p>
        </w:tc>
      </w:tr>
      <w:tr w:rsidR="00BF4E7F" w:rsidRPr="00890289" w:rsidTr="00E36DFA">
        <w:tc>
          <w:tcPr>
            <w:tcW w:w="1161" w:type="dxa"/>
            <w:tcBorders>
              <w:lef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rsidR="00BF4E7F" w:rsidRPr="00BA760E" w:rsidRDefault="007A5794" w:rsidP="00E36DFA">
            <w:pPr>
              <w:numPr>
                <w:ilvl w:val="0"/>
                <w:numId w:val="7"/>
              </w:numPr>
              <w:suppressAutoHyphens/>
              <w:snapToGrid w:val="0"/>
              <w:spacing w:before="0" w:after="0" w:line="240" w:lineRule="auto"/>
              <w:ind w:left="720"/>
              <w:jc w:val="left"/>
              <w:rPr>
                <w:rFonts w:eastAsia="Times New Roman"/>
                <w:szCs w:val="24"/>
              </w:rPr>
            </w:pPr>
            <w:r>
              <w:rPr>
                <w:rFonts w:eastAsia="Times New Roman"/>
                <w:szCs w:val="24"/>
              </w:rPr>
              <w:t>Уровень г</w:t>
            </w:r>
            <w:r w:rsidR="00BF4E7F" w:rsidRPr="00BA760E">
              <w:rPr>
                <w:rFonts w:eastAsia="Times New Roman"/>
                <w:szCs w:val="24"/>
              </w:rPr>
              <w:t>емоглобин</w:t>
            </w:r>
            <w:r>
              <w:rPr>
                <w:rFonts w:eastAsia="Times New Roman"/>
                <w:szCs w:val="24"/>
              </w:rPr>
              <w:t xml:space="preserve">а </w:t>
            </w:r>
            <w:r w:rsidR="00BF4E7F" w:rsidRPr="00BA760E">
              <w:rPr>
                <w:rFonts w:eastAsia="Times New Roman"/>
                <w:szCs w:val="24"/>
                <w:lang w:val="en-US"/>
              </w:rPr>
              <w:t>&lt;8,5 г</w:t>
            </w:r>
            <w:r w:rsidR="00BF4E7F" w:rsidRPr="00BA760E">
              <w:rPr>
                <w:rFonts w:eastAsia="Times New Roman"/>
                <w:szCs w:val="24"/>
              </w:rPr>
              <w:t>/дл</w:t>
            </w:r>
          </w:p>
        </w:tc>
        <w:tc>
          <w:tcPr>
            <w:tcW w:w="2429" w:type="dxa"/>
            <w:tcBorders>
              <w:left w:val="single" w:sz="4" w:space="0" w:color="000000"/>
              <w:righ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lang w:val="en-US"/>
              </w:rPr>
            </w:pPr>
            <w:r w:rsidRPr="00BA760E">
              <w:rPr>
                <w:rFonts w:eastAsia="Times New Roman"/>
                <w:szCs w:val="24"/>
              </w:rPr>
              <w:t>(высокая</w:t>
            </w:r>
            <w:r w:rsidRPr="00BA760E">
              <w:rPr>
                <w:rFonts w:eastAsia="Times New Roman"/>
                <w:szCs w:val="24"/>
                <w:lang w:val="en-US"/>
              </w:rPr>
              <w:t>)</w:t>
            </w:r>
          </w:p>
        </w:tc>
      </w:tr>
      <w:tr w:rsidR="00BF4E7F" w:rsidRPr="00890289" w:rsidTr="00E36DFA">
        <w:tc>
          <w:tcPr>
            <w:tcW w:w="1161" w:type="dxa"/>
            <w:tcBorders>
              <w:lef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lang w:val="en-US"/>
              </w:rPr>
            </w:pPr>
          </w:p>
        </w:tc>
        <w:tc>
          <w:tcPr>
            <w:tcW w:w="5670" w:type="dxa"/>
            <w:tcBorders>
              <w:left w:val="single" w:sz="4" w:space="0" w:color="000000"/>
            </w:tcBorders>
            <w:shd w:val="clear" w:color="auto" w:fill="auto"/>
          </w:tcPr>
          <w:p w:rsidR="00BF4E7F" w:rsidRPr="00BA760E" w:rsidRDefault="00BF4E7F" w:rsidP="00E36DFA">
            <w:pPr>
              <w:numPr>
                <w:ilvl w:val="0"/>
                <w:numId w:val="7"/>
              </w:numPr>
              <w:suppressAutoHyphens/>
              <w:snapToGrid w:val="0"/>
              <w:spacing w:before="0" w:after="0" w:line="240" w:lineRule="auto"/>
              <w:ind w:left="720"/>
              <w:jc w:val="left"/>
              <w:rPr>
                <w:rFonts w:eastAsia="Times New Roman"/>
                <w:szCs w:val="24"/>
              </w:rPr>
            </w:pPr>
            <w:r w:rsidRPr="00BA760E">
              <w:rPr>
                <w:rFonts w:eastAsia="Times New Roman"/>
                <w:szCs w:val="24"/>
              </w:rPr>
              <w:t>Уровень кальция сыворотки превышает нормальные значения</w:t>
            </w:r>
          </w:p>
        </w:tc>
        <w:tc>
          <w:tcPr>
            <w:tcW w:w="2429" w:type="dxa"/>
            <w:tcBorders>
              <w:left w:val="single" w:sz="4" w:space="0" w:color="000000"/>
              <w:righ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rPr>
            </w:pPr>
          </w:p>
        </w:tc>
      </w:tr>
      <w:tr w:rsidR="00BF4E7F" w:rsidRPr="00890289" w:rsidTr="00E36DFA">
        <w:tc>
          <w:tcPr>
            <w:tcW w:w="1161" w:type="dxa"/>
            <w:tcBorders>
              <w:lef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rsidR="00BF4E7F" w:rsidRPr="00BA760E" w:rsidRDefault="00DF1752" w:rsidP="00E36DFA">
            <w:pPr>
              <w:numPr>
                <w:ilvl w:val="0"/>
                <w:numId w:val="7"/>
              </w:numPr>
              <w:suppressAutoHyphens/>
              <w:snapToGrid w:val="0"/>
              <w:spacing w:before="0" w:after="0" w:line="240" w:lineRule="auto"/>
              <w:ind w:left="720"/>
              <w:jc w:val="left"/>
              <w:rPr>
                <w:rFonts w:eastAsia="Times New Roman"/>
                <w:szCs w:val="24"/>
              </w:rPr>
            </w:pPr>
            <w:r>
              <w:rPr>
                <w:rFonts w:eastAsia="Times New Roman"/>
                <w:szCs w:val="24"/>
              </w:rPr>
              <w:t>Множественные поражения костей</w:t>
            </w:r>
            <w:r>
              <w:rPr>
                <w:rFonts w:eastAsia="Times New Roman"/>
                <w:szCs w:val="24"/>
              </w:rPr>
              <w:br/>
            </w:r>
            <w:r w:rsidR="00BF4E7F" w:rsidRPr="00BA760E">
              <w:rPr>
                <w:rFonts w:eastAsia="Times New Roman"/>
                <w:szCs w:val="24"/>
              </w:rPr>
              <w:t>(&gt;3 литических очагов)</w:t>
            </w:r>
          </w:p>
        </w:tc>
        <w:tc>
          <w:tcPr>
            <w:tcW w:w="2429" w:type="dxa"/>
            <w:tcBorders>
              <w:left w:val="single" w:sz="4" w:space="0" w:color="000000"/>
              <w:righ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rPr>
            </w:pPr>
          </w:p>
        </w:tc>
      </w:tr>
      <w:tr w:rsidR="00BF4E7F" w:rsidRPr="00890289" w:rsidTr="00E36DFA">
        <w:tc>
          <w:tcPr>
            <w:tcW w:w="1161" w:type="dxa"/>
            <w:tcBorders>
              <w:lef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rsidR="00BF4E7F" w:rsidRPr="00BA760E" w:rsidRDefault="00BF4E7F" w:rsidP="00E36DFA">
            <w:pPr>
              <w:numPr>
                <w:ilvl w:val="0"/>
                <w:numId w:val="7"/>
              </w:numPr>
              <w:suppressAutoHyphens/>
              <w:snapToGrid w:val="0"/>
              <w:spacing w:before="0" w:after="0" w:line="240" w:lineRule="auto"/>
              <w:ind w:left="720"/>
              <w:jc w:val="left"/>
              <w:rPr>
                <w:rFonts w:eastAsia="Times New Roman"/>
                <w:szCs w:val="24"/>
                <w:lang w:val="en-US"/>
              </w:rPr>
            </w:pPr>
            <w:r w:rsidRPr="00BA760E">
              <w:rPr>
                <w:rFonts w:eastAsia="Times New Roman"/>
                <w:szCs w:val="24"/>
              </w:rPr>
              <w:t xml:space="preserve">Высокий </w:t>
            </w:r>
            <w:r w:rsidRPr="00BA760E">
              <w:rPr>
                <w:rFonts w:eastAsia="Times New Roman"/>
                <w:szCs w:val="24"/>
                <w:lang w:val="en-US"/>
              </w:rPr>
              <w:t>уровень М-протеина:</w:t>
            </w:r>
          </w:p>
        </w:tc>
        <w:tc>
          <w:tcPr>
            <w:tcW w:w="2429" w:type="dxa"/>
            <w:tcBorders>
              <w:left w:val="single" w:sz="4" w:space="0" w:color="000000"/>
              <w:righ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lang w:val="en-US"/>
              </w:rPr>
            </w:pPr>
          </w:p>
        </w:tc>
      </w:tr>
      <w:tr w:rsidR="00BF4E7F" w:rsidRPr="00890289" w:rsidTr="00E36DFA">
        <w:tc>
          <w:tcPr>
            <w:tcW w:w="1161" w:type="dxa"/>
            <w:tcBorders>
              <w:lef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lang w:val="en-US"/>
              </w:rPr>
            </w:pPr>
          </w:p>
        </w:tc>
        <w:tc>
          <w:tcPr>
            <w:tcW w:w="5670" w:type="dxa"/>
            <w:tcBorders>
              <w:left w:val="single" w:sz="4" w:space="0" w:color="000000"/>
            </w:tcBorders>
            <w:shd w:val="clear" w:color="auto" w:fill="auto"/>
          </w:tcPr>
          <w:p w:rsidR="00BF4E7F" w:rsidRPr="00BA760E" w:rsidRDefault="00BF4E7F" w:rsidP="00E36DFA">
            <w:pPr>
              <w:numPr>
                <w:ilvl w:val="1"/>
                <w:numId w:val="7"/>
              </w:numPr>
              <w:suppressAutoHyphens/>
              <w:snapToGrid w:val="0"/>
              <w:spacing w:before="0" w:after="0" w:line="240" w:lineRule="auto"/>
              <w:ind w:left="1440"/>
              <w:jc w:val="left"/>
              <w:rPr>
                <w:rFonts w:eastAsia="Times New Roman"/>
                <w:szCs w:val="24"/>
                <w:lang w:val="en-US"/>
              </w:rPr>
            </w:pPr>
            <w:r w:rsidRPr="00BA760E">
              <w:rPr>
                <w:rFonts w:eastAsia="Times New Roman"/>
                <w:szCs w:val="24"/>
                <w:lang w:val="en-US"/>
              </w:rPr>
              <w:t>IgG &gt;70 г/л</w:t>
            </w:r>
            <w:r w:rsidR="007A5794">
              <w:rPr>
                <w:rFonts w:eastAsia="Times New Roman"/>
                <w:szCs w:val="24"/>
              </w:rPr>
              <w:t>;</w:t>
            </w:r>
          </w:p>
        </w:tc>
        <w:tc>
          <w:tcPr>
            <w:tcW w:w="2429" w:type="dxa"/>
            <w:tcBorders>
              <w:left w:val="single" w:sz="4" w:space="0" w:color="000000"/>
              <w:righ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lang w:val="en-US"/>
              </w:rPr>
            </w:pPr>
          </w:p>
        </w:tc>
      </w:tr>
      <w:tr w:rsidR="00BF4E7F" w:rsidRPr="00890289" w:rsidTr="00E36DFA">
        <w:tc>
          <w:tcPr>
            <w:tcW w:w="1161" w:type="dxa"/>
            <w:tcBorders>
              <w:lef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lang w:val="en-US"/>
              </w:rPr>
            </w:pPr>
          </w:p>
        </w:tc>
        <w:tc>
          <w:tcPr>
            <w:tcW w:w="5670" w:type="dxa"/>
            <w:tcBorders>
              <w:left w:val="single" w:sz="4" w:space="0" w:color="000000"/>
            </w:tcBorders>
            <w:shd w:val="clear" w:color="auto" w:fill="auto"/>
          </w:tcPr>
          <w:p w:rsidR="00BF4E7F" w:rsidRPr="00BA760E" w:rsidRDefault="00BF4E7F" w:rsidP="00E36DFA">
            <w:pPr>
              <w:numPr>
                <w:ilvl w:val="1"/>
                <w:numId w:val="7"/>
              </w:numPr>
              <w:suppressAutoHyphens/>
              <w:snapToGrid w:val="0"/>
              <w:spacing w:before="0" w:after="0" w:line="240" w:lineRule="auto"/>
              <w:ind w:left="1440"/>
              <w:jc w:val="left"/>
              <w:rPr>
                <w:rFonts w:eastAsia="Times New Roman"/>
                <w:szCs w:val="24"/>
                <w:lang w:val="en-US"/>
              </w:rPr>
            </w:pPr>
            <w:r w:rsidRPr="00BA760E">
              <w:rPr>
                <w:rFonts w:eastAsia="Times New Roman"/>
                <w:szCs w:val="24"/>
                <w:lang w:val="en-US"/>
              </w:rPr>
              <w:t>IgA &gt;50 г/л</w:t>
            </w:r>
          </w:p>
        </w:tc>
        <w:tc>
          <w:tcPr>
            <w:tcW w:w="2429" w:type="dxa"/>
            <w:tcBorders>
              <w:left w:val="single" w:sz="4" w:space="0" w:color="000000"/>
              <w:righ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lang w:val="en-US"/>
              </w:rPr>
            </w:pPr>
          </w:p>
        </w:tc>
      </w:tr>
      <w:tr w:rsidR="00BF4E7F" w:rsidRPr="00890289" w:rsidTr="00E36DFA">
        <w:tc>
          <w:tcPr>
            <w:tcW w:w="1161" w:type="dxa"/>
            <w:tcBorders>
              <w:left w:val="single" w:sz="4" w:space="0" w:color="000000"/>
              <w:bottom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lang w:val="en-US"/>
              </w:rPr>
            </w:pPr>
          </w:p>
        </w:tc>
        <w:tc>
          <w:tcPr>
            <w:tcW w:w="5670" w:type="dxa"/>
            <w:tcBorders>
              <w:left w:val="single" w:sz="4" w:space="0" w:color="000000"/>
              <w:bottom w:val="single" w:sz="4" w:space="0" w:color="000000"/>
            </w:tcBorders>
            <w:shd w:val="clear" w:color="auto" w:fill="auto"/>
          </w:tcPr>
          <w:p w:rsidR="00BF4E7F" w:rsidRPr="00BA760E" w:rsidRDefault="00BF4E7F" w:rsidP="00E36DFA">
            <w:pPr>
              <w:numPr>
                <w:ilvl w:val="0"/>
                <w:numId w:val="7"/>
              </w:numPr>
              <w:suppressAutoHyphens/>
              <w:snapToGrid w:val="0"/>
              <w:spacing w:before="0" w:after="0" w:line="240" w:lineRule="auto"/>
              <w:ind w:left="720"/>
              <w:jc w:val="left"/>
              <w:rPr>
                <w:rFonts w:eastAsia="Times New Roman"/>
                <w:szCs w:val="24"/>
              </w:rPr>
            </w:pPr>
            <w:r w:rsidRPr="00BA760E">
              <w:rPr>
                <w:rFonts w:eastAsia="Times New Roman"/>
                <w:szCs w:val="24"/>
              </w:rPr>
              <w:t>Белок Бенс-Джонса &gt;12 г/сут</w:t>
            </w:r>
          </w:p>
        </w:tc>
        <w:tc>
          <w:tcPr>
            <w:tcW w:w="2429" w:type="dxa"/>
            <w:tcBorders>
              <w:left w:val="single" w:sz="4" w:space="0" w:color="000000"/>
              <w:bottom w:val="single" w:sz="4" w:space="0" w:color="000000"/>
              <w:right w:val="single" w:sz="4" w:space="0" w:color="000000"/>
            </w:tcBorders>
            <w:shd w:val="clear" w:color="auto" w:fill="auto"/>
          </w:tcPr>
          <w:p w:rsidR="00BF4E7F" w:rsidRPr="00BA760E" w:rsidRDefault="00BF4E7F" w:rsidP="00E36DFA">
            <w:pPr>
              <w:snapToGrid w:val="0"/>
              <w:spacing w:before="0" w:after="0" w:line="240" w:lineRule="auto"/>
              <w:jc w:val="center"/>
              <w:rPr>
                <w:rFonts w:eastAsia="Times New Roman"/>
                <w:szCs w:val="24"/>
              </w:rPr>
            </w:pPr>
          </w:p>
        </w:tc>
      </w:tr>
    </w:tbl>
    <w:p w:rsidR="004A458B" w:rsidRPr="00890289" w:rsidRDefault="004A458B" w:rsidP="00E36DFA">
      <w:pPr>
        <w:pStyle w:val="a3"/>
        <w:spacing w:before="0" w:beforeAutospacing="0" w:after="0" w:afterAutospacing="0" w:line="360" w:lineRule="auto"/>
        <w:ind w:firstLine="709"/>
        <w:jc w:val="both"/>
      </w:pPr>
      <w:r>
        <w:t>Дополнительным признаком, определяющим подстадию, является состояние функции почек:</w:t>
      </w:r>
    </w:p>
    <w:p w:rsidR="004A458B" w:rsidRDefault="004A458B" w:rsidP="00E36DFA">
      <w:pPr>
        <w:pStyle w:val="a3"/>
        <w:numPr>
          <w:ilvl w:val="0"/>
          <w:numId w:val="6"/>
        </w:numPr>
        <w:spacing w:before="0" w:beforeAutospacing="0" w:after="0" w:afterAutospacing="0" w:line="360" w:lineRule="auto"/>
      </w:pPr>
      <w:r>
        <w:t xml:space="preserve">А </w:t>
      </w:r>
      <w:r w:rsidR="003957AE">
        <w:t>−</w:t>
      </w:r>
      <w:r>
        <w:t xml:space="preserve"> нормальная (креатинин сыворотки </w:t>
      </w:r>
      <w:r w:rsidR="003957AE" w:rsidRPr="003957AE">
        <w:t>&lt;</w:t>
      </w:r>
      <w:r>
        <w:t>170 мкмоль/л или 2 г/дл).</w:t>
      </w:r>
    </w:p>
    <w:p w:rsidR="004A458B" w:rsidRDefault="004A458B" w:rsidP="00E36DFA">
      <w:pPr>
        <w:pStyle w:val="a3"/>
        <w:numPr>
          <w:ilvl w:val="0"/>
          <w:numId w:val="6"/>
        </w:numPr>
        <w:spacing w:before="0" w:beforeAutospacing="0" w:after="0" w:afterAutospacing="0" w:line="360" w:lineRule="auto"/>
      </w:pPr>
      <w:r>
        <w:t xml:space="preserve">В </w:t>
      </w:r>
      <w:r w:rsidR="003957AE" w:rsidRPr="003957AE">
        <w:t>−</w:t>
      </w:r>
      <w:r>
        <w:t xml:space="preserve"> сниженная (креатинин сыворотки </w:t>
      </w:r>
      <w:r w:rsidR="003957AE">
        <w:t>≥</w:t>
      </w:r>
      <w:r>
        <w:t>170 мкмоль/л или 2 г/дл).</w:t>
      </w:r>
    </w:p>
    <w:p w:rsidR="004A458B" w:rsidRDefault="004A458B" w:rsidP="00E36DFA">
      <w:pPr>
        <w:pStyle w:val="a3"/>
        <w:spacing w:before="0" w:beforeAutospacing="0" w:after="0" w:afterAutospacing="0" w:line="360" w:lineRule="auto"/>
        <w:ind w:firstLine="709"/>
      </w:pPr>
      <w:r>
        <w:lastRenderedPageBreak/>
        <w:t>Классификация ISS основана на важном прогностическом значении сочетания β2-микроглобулина и альбумина сыворотки крови (табл. 2)</w:t>
      </w:r>
      <w:r w:rsidR="002E3E42">
        <w:rPr>
          <w:lang w:val="en-US"/>
        </w:rPr>
        <w:t xml:space="preserve"> </w:t>
      </w:r>
      <w:r w:rsidR="00A96FB6">
        <w:rPr>
          <w:rStyle w:val="ab"/>
          <w:b w:val="0"/>
        </w:rPr>
        <w:fldChar w:fldCharType="begin" w:fldLock="1"/>
      </w:r>
      <w:r w:rsidR="002E3E42">
        <w:rPr>
          <w:rStyle w:val="ab"/>
          <w:b w:val="0"/>
        </w:rPr>
        <w:instrText>ADDIN CSL_CITATION {"citationItems":[{"id":"ITEM-1","itemData":{"DOI":"10.1200/JCO.2005.04.242","ISSN":"0732183X","abstract":"Purpose: There is a need for a simple, reliable staging system for multiple myeloma that can be applied internationally for patient classification and stratification. Patients and Methods: Clinical and laboratory data were gathered on 10,750 previously untreated symptomatic myeloma patients from 17 institutions, including sites in North America, Europe, and Asia. Potential prognostic factors were evaluated by univariate and multivariate techniques. Three modeling approaches were then explored to develop a staging system including two nontree and one tree survival assessment methodologies. Results: Serum beta 2-microglobulin (S? 2M), serum albumin, platelet count, serum creatinine, and age emerged as powerful predictors of survival and were then used in the tree analysis approach. A combination of S? 2M and serum albumin provided the simplest, most powerful and reproducible three-stage classification. This new International Staging System (ISS) was validated in the remaining patients and consists of the following stages: stage I, S? 2M less than 3.5 mg/L plus serum albumin ? 3.5 g/dL (median survival, 62 months); stage II, neither stage I nor III (median survival, 44 months); and stage III, S? 2M &gt; 5.5 mg/L (median survival, 29 months). The ISS system was further validated by demonstrating effectiveness in patients in North America, Europe, and Asia; in patients less than and ? 65 years of age; in patients with standard therapy or autotransplantation; and in comparison with the Durie/ Salmon staging system. Conclusion: The new ISS is simple, based on easy to use variables (S? 2M and serum albumin), and recommended for early adoption and widespread use. ? 2005 by American Society of Clinical Oncology.","author":[{"dropping-particle":"","family":"Greipp","given":"Philip R.","non-dropping-particle":"","parse-names":false,"suffix":""},{"dropping-particle":"","family":"Miguel","given":"Jesus San","non-dropping-particle":"","parse-names":false,"suffix":""},{"dropping-particle":"","family":"Dune","given":"Brian G.M.","non-dropping-particle":"","parse-names":false,"suffix":""},{"dropping-particle":"","family":"Crowley","given":"John J.","non-dropping-particle":"","parse-names":false,"suffix":""},{"dropping-particle":"","family":"Barlogie","given":"Bart","non-dropping-particle":"","parse-names":false,"suffix":""},{"dropping-particle":"","family":"Bladé","given":"Joan","non-dropping-particle":"","parse-names":false,"suffix":""},{"dropping-particle":"","family":"Boccadoro","given":"Mario","non-dropping-particle":"","parse-names":false,"suffix":""},{"dropping-particle":"","family":"Child","given":"J. Anthony","non-dropping-particle":"","parse-names":false,"suffix":""},{"dropping-particle":"","family":"Harousseau","given":"Jean Luc","non-dropping-particle":"","parse-names":false,"suffix":""},{"dropping-particle":"","family":"Kyle","given":"Robert A.","non-dropping-particle":"","parse-names":false,"suffix":""},{"dropping-particle":"","family":"Lahuerta","given":"Juan J.","non-dropping-particle":"","parse-names":false,"suffix":""},{"dropping-particle":"","family":"Ludwig","given":"Heinz","non-dropping-particle":"","parse-names":false,"suffix":""},{"dropping-particle":"","family":"Morgan","given":"Gareth","non-dropping-particle":"","parse-names":false,"suffix":""},{"dropping-particle":"","family":"Powles","given":"Raymond","non-dropping-particle":"","parse-names":false,"suffix":""},{"dropping-particle":"","family":"Shimizu","given":"Kazuyuki","non-dropping-particle":"","parse-names":false,"suffix":""},{"dropping-particle":"","family":"Shustik","given":"Chaim","non-dropping-particle":"","parse-names":false,"suffix":""},{"dropping-particle":"","family":"Sonneveld","given":"Pieter","non-dropping-particle":"","parse-names":false,"suffix":""},{"dropping-particle":"","family":"Tosi","given":"Patrizia","non-dropping-particle":"","parse-names":false,"suffix":""},{"dropping-particle":"","family":"Turesson","given":"Ingemar","non-dropping-particle":"","parse-names":false,"suffix":""},{"dropping-particle":"","family":"Westin","given":"Jan","non-dropping-particle":"","parse-names":false,"suffix":""}],"container-title":"Journal of Clinical Oncology","id":"ITEM-1","issue":"15","issued":{"date-parts":[["2005"]]},"page":"3412-3420","title":"International staging system for multiple myeloma","type":"article-journal","volume":"23"},"uris":["http://www.mendeley.com/documents/?uuid=aa3df05b-8256-3934-85b7-0a983e32b5ac"]}],"mendeley":{"formattedCitation":"[12]","plainTextFormattedCitation":"[12]","previouslyFormattedCitation":"[12]"},"properties":{"noteIndex":0},"schema":"https://github.com/citation-style-language/schema/raw/master/csl-citation.json"}</w:instrText>
      </w:r>
      <w:r w:rsidR="00A96FB6">
        <w:rPr>
          <w:rStyle w:val="ab"/>
          <w:b w:val="0"/>
        </w:rPr>
        <w:fldChar w:fldCharType="separate"/>
      </w:r>
      <w:r w:rsidR="002E3E42" w:rsidRPr="00F832D0">
        <w:rPr>
          <w:rStyle w:val="ab"/>
          <w:b w:val="0"/>
          <w:noProof/>
        </w:rPr>
        <w:t>[12]</w:t>
      </w:r>
      <w:r w:rsidR="00A96FB6">
        <w:rPr>
          <w:rStyle w:val="ab"/>
          <w:b w:val="0"/>
        </w:rPr>
        <w:fldChar w:fldCharType="end"/>
      </w:r>
      <w:r>
        <w:t>.</w:t>
      </w:r>
    </w:p>
    <w:p w:rsidR="004A458B" w:rsidRDefault="004A458B" w:rsidP="00E36DFA">
      <w:pPr>
        <w:pStyle w:val="a3"/>
        <w:spacing w:before="0" w:beforeAutospacing="0" w:after="0" w:afterAutospacing="0" w:line="360" w:lineRule="auto"/>
      </w:pPr>
      <w:r>
        <w:rPr>
          <w:rStyle w:val="ab"/>
        </w:rPr>
        <w:t>Таблица 2.</w:t>
      </w:r>
      <w:r>
        <w:t> </w:t>
      </w:r>
      <w:r w:rsidR="007809BE">
        <w:t xml:space="preserve"> </w:t>
      </w:r>
      <w:r>
        <w:t>ISS</w:t>
      </w:r>
    </w:p>
    <w:tbl>
      <w:tblPr>
        <w:tblW w:w="0" w:type="auto"/>
        <w:tblInd w:w="108" w:type="dxa"/>
        <w:tblLayout w:type="fixed"/>
        <w:tblLook w:val="0000" w:firstRow="0" w:lastRow="0" w:firstColumn="0" w:lastColumn="0" w:noHBand="0" w:noVBand="0"/>
      </w:tblPr>
      <w:tblGrid>
        <w:gridCol w:w="1764"/>
        <w:gridCol w:w="5040"/>
        <w:gridCol w:w="2288"/>
      </w:tblGrid>
      <w:tr w:rsidR="00BF4E7F" w:rsidRPr="00890289" w:rsidTr="00E36DFA">
        <w:tc>
          <w:tcPr>
            <w:tcW w:w="1764" w:type="dxa"/>
            <w:tcBorders>
              <w:top w:val="single" w:sz="4" w:space="0" w:color="000000"/>
              <w:left w:val="single" w:sz="4" w:space="0" w:color="000000"/>
              <w:bottom w:val="single" w:sz="4" w:space="0" w:color="000000"/>
            </w:tcBorders>
            <w:shd w:val="clear" w:color="auto" w:fill="auto"/>
            <w:vAlign w:val="center"/>
          </w:tcPr>
          <w:p w:rsidR="00BF4E7F" w:rsidRPr="00890289" w:rsidRDefault="00BF4E7F" w:rsidP="00E36DFA">
            <w:pPr>
              <w:autoSpaceDE w:val="0"/>
              <w:snapToGrid w:val="0"/>
              <w:spacing w:before="0" w:after="0" w:line="240" w:lineRule="auto"/>
              <w:jc w:val="center"/>
              <w:rPr>
                <w:rFonts w:eastAsia="Times New Roman"/>
              </w:rPr>
            </w:pPr>
            <w:r w:rsidRPr="00890289">
              <w:rPr>
                <w:rFonts w:eastAsia="Times New Roman"/>
                <w:lang w:val="en-US"/>
              </w:rPr>
              <w:t>Стади</w:t>
            </w:r>
            <w:r w:rsidR="003957AE" w:rsidRPr="00890289">
              <w:rPr>
                <w:rFonts w:eastAsia="Times New Roman"/>
              </w:rPr>
              <w:t>я</w:t>
            </w:r>
          </w:p>
        </w:tc>
        <w:tc>
          <w:tcPr>
            <w:tcW w:w="5040" w:type="dxa"/>
            <w:tcBorders>
              <w:top w:val="single" w:sz="4" w:space="0" w:color="000000"/>
              <w:left w:val="single" w:sz="4" w:space="0" w:color="000000"/>
              <w:bottom w:val="single" w:sz="4" w:space="0" w:color="000000"/>
            </w:tcBorders>
            <w:shd w:val="clear" w:color="auto" w:fill="auto"/>
            <w:vAlign w:val="center"/>
          </w:tcPr>
          <w:p w:rsidR="00BF4E7F" w:rsidRPr="00890289" w:rsidRDefault="00BF4E7F" w:rsidP="00E36DFA">
            <w:pPr>
              <w:autoSpaceDE w:val="0"/>
              <w:snapToGrid w:val="0"/>
              <w:spacing w:before="0" w:after="0" w:line="240" w:lineRule="auto"/>
              <w:jc w:val="center"/>
            </w:pPr>
            <w:r w:rsidRPr="00890289">
              <w:rPr>
                <w:rFonts w:eastAsia="Times New Roman"/>
                <w:lang w:val="en-US"/>
              </w:rPr>
              <w:t>Показатели</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4E7F" w:rsidRPr="00890289" w:rsidRDefault="00BF4E7F" w:rsidP="00E36DFA">
            <w:pPr>
              <w:snapToGrid w:val="0"/>
              <w:spacing w:before="0" w:after="0" w:line="240" w:lineRule="auto"/>
              <w:jc w:val="center"/>
            </w:pPr>
            <w:r w:rsidRPr="00890289">
              <w:t>Медиана ОВ,</w:t>
            </w:r>
            <w:r w:rsidR="003957AE" w:rsidRPr="00890289">
              <w:t xml:space="preserve"> </w:t>
            </w:r>
            <w:r w:rsidRPr="00890289">
              <w:t>мес</w:t>
            </w:r>
          </w:p>
        </w:tc>
      </w:tr>
      <w:tr w:rsidR="00BF4E7F" w:rsidRPr="00890289" w:rsidTr="00E36DFA">
        <w:tc>
          <w:tcPr>
            <w:tcW w:w="1764" w:type="dxa"/>
            <w:tcBorders>
              <w:top w:val="single" w:sz="4" w:space="0" w:color="000000"/>
              <w:left w:val="single" w:sz="4" w:space="0" w:color="000000"/>
            </w:tcBorders>
            <w:shd w:val="clear" w:color="auto" w:fill="auto"/>
            <w:vAlign w:val="center"/>
          </w:tcPr>
          <w:p w:rsidR="00BF4E7F" w:rsidRPr="00890289" w:rsidRDefault="00BF4E7F" w:rsidP="00E36DFA">
            <w:pPr>
              <w:autoSpaceDE w:val="0"/>
              <w:snapToGrid w:val="0"/>
              <w:spacing w:before="0" w:after="0" w:line="240" w:lineRule="auto"/>
              <w:jc w:val="center"/>
              <w:rPr>
                <w:rFonts w:eastAsia="Times New Roman"/>
                <w:lang w:val="en-US"/>
              </w:rPr>
            </w:pPr>
            <w:r w:rsidRPr="00890289">
              <w:rPr>
                <w:rFonts w:eastAsia="Times New Roman"/>
                <w:lang w:val="en-US"/>
              </w:rPr>
              <w:t>I</w:t>
            </w:r>
          </w:p>
        </w:tc>
        <w:tc>
          <w:tcPr>
            <w:tcW w:w="5040" w:type="dxa"/>
            <w:tcBorders>
              <w:top w:val="single" w:sz="4" w:space="0" w:color="000000"/>
              <w:left w:val="single" w:sz="4" w:space="0" w:color="000000"/>
            </w:tcBorders>
            <w:shd w:val="clear" w:color="auto" w:fill="auto"/>
            <w:vAlign w:val="center"/>
          </w:tcPr>
          <w:p w:rsidR="00BF4E7F" w:rsidRPr="00890289" w:rsidRDefault="00BF4E7F" w:rsidP="00E36DFA">
            <w:pPr>
              <w:autoSpaceDE w:val="0"/>
              <w:snapToGrid w:val="0"/>
              <w:spacing w:before="0" w:after="0" w:line="240" w:lineRule="auto"/>
              <w:jc w:val="center"/>
            </w:pPr>
            <w:r w:rsidRPr="00890289">
              <w:rPr>
                <w:rFonts w:eastAsia="Times New Roman"/>
                <w:lang w:val="en-US"/>
              </w:rPr>
              <w:t>β</w:t>
            </w:r>
            <w:r w:rsidRPr="00890289">
              <w:rPr>
                <w:rFonts w:eastAsia="Times New Roman"/>
              </w:rPr>
              <w:t>2-</w:t>
            </w:r>
            <w:r w:rsidR="00575248" w:rsidRPr="00890289">
              <w:rPr>
                <w:rFonts w:eastAsia="Times New Roman"/>
              </w:rPr>
              <w:t>микроглобулин сыворотки &lt;</w:t>
            </w:r>
            <w:r w:rsidRPr="00890289">
              <w:rPr>
                <w:rFonts w:eastAsia="Times New Roman"/>
              </w:rPr>
              <w:t>3,5 мг/л</w:t>
            </w:r>
          </w:p>
        </w:tc>
        <w:tc>
          <w:tcPr>
            <w:tcW w:w="2288" w:type="dxa"/>
            <w:tcBorders>
              <w:top w:val="single" w:sz="4" w:space="0" w:color="000000"/>
              <w:left w:val="single" w:sz="4" w:space="0" w:color="000000"/>
              <w:right w:val="single" w:sz="4" w:space="0" w:color="000000"/>
            </w:tcBorders>
            <w:shd w:val="clear" w:color="auto" w:fill="auto"/>
            <w:vAlign w:val="center"/>
          </w:tcPr>
          <w:p w:rsidR="00BF4E7F" w:rsidRPr="00890289" w:rsidRDefault="00BF4E7F" w:rsidP="00E36DFA">
            <w:pPr>
              <w:snapToGrid w:val="0"/>
              <w:spacing w:before="0" w:after="0" w:line="240" w:lineRule="auto"/>
              <w:jc w:val="center"/>
              <w:rPr>
                <w:rFonts w:eastAsia="Times New Roman"/>
              </w:rPr>
            </w:pPr>
            <w:r w:rsidRPr="00890289">
              <w:t>62</w:t>
            </w:r>
          </w:p>
        </w:tc>
      </w:tr>
      <w:tr w:rsidR="00BF4E7F" w:rsidRPr="00890289" w:rsidTr="00E36DFA">
        <w:tc>
          <w:tcPr>
            <w:tcW w:w="1764" w:type="dxa"/>
            <w:tcBorders>
              <w:left w:val="single" w:sz="4" w:space="0" w:color="000000"/>
              <w:bottom w:val="single" w:sz="4" w:space="0" w:color="000000"/>
            </w:tcBorders>
            <w:shd w:val="clear" w:color="auto" w:fill="auto"/>
            <w:vAlign w:val="center"/>
          </w:tcPr>
          <w:p w:rsidR="00BF4E7F" w:rsidRPr="00890289" w:rsidRDefault="00BF4E7F" w:rsidP="00E36DFA">
            <w:pPr>
              <w:autoSpaceDE w:val="0"/>
              <w:snapToGrid w:val="0"/>
              <w:spacing w:before="0" w:after="0" w:line="240" w:lineRule="auto"/>
              <w:jc w:val="center"/>
              <w:rPr>
                <w:rFonts w:eastAsia="Times New Roman"/>
              </w:rPr>
            </w:pPr>
          </w:p>
        </w:tc>
        <w:tc>
          <w:tcPr>
            <w:tcW w:w="5040" w:type="dxa"/>
            <w:tcBorders>
              <w:left w:val="single" w:sz="4" w:space="0" w:color="000000"/>
              <w:bottom w:val="single" w:sz="4" w:space="0" w:color="000000"/>
            </w:tcBorders>
            <w:shd w:val="clear" w:color="auto" w:fill="auto"/>
            <w:vAlign w:val="center"/>
          </w:tcPr>
          <w:p w:rsidR="00BF4E7F" w:rsidRPr="00890289" w:rsidRDefault="00BF4E7F" w:rsidP="00E36DFA">
            <w:pPr>
              <w:autoSpaceDE w:val="0"/>
              <w:snapToGrid w:val="0"/>
              <w:spacing w:before="0" w:after="0" w:line="240" w:lineRule="auto"/>
              <w:jc w:val="center"/>
            </w:pPr>
            <w:r w:rsidRPr="00890289">
              <w:rPr>
                <w:rFonts w:eastAsia="Times New Roman"/>
                <w:lang w:val="en-US"/>
              </w:rPr>
              <w:t>Альбумин</w:t>
            </w:r>
            <w:r w:rsidR="00575248" w:rsidRPr="00890289">
              <w:rPr>
                <w:rFonts w:eastAsia="Times New Roman"/>
              </w:rPr>
              <w:t xml:space="preserve"> </w:t>
            </w:r>
            <w:r w:rsidRPr="00EC2640">
              <w:rPr>
                <w:rFonts w:eastAsia="Times New Roman" w:cs="Calibri"/>
                <w:lang w:val="en-US"/>
              </w:rPr>
              <w:t>≥</w:t>
            </w:r>
            <w:r w:rsidRPr="00890289">
              <w:rPr>
                <w:rFonts w:eastAsia="Times New Roman"/>
                <w:lang w:val="en-US"/>
              </w:rPr>
              <w:t>3,5 г/</w:t>
            </w:r>
            <w:r w:rsidRPr="00890289">
              <w:rPr>
                <w:rFonts w:eastAsia="Times New Roman"/>
              </w:rPr>
              <w:t>д</w:t>
            </w:r>
            <w:r w:rsidRPr="00890289">
              <w:rPr>
                <w:rFonts w:eastAsia="Times New Roman"/>
                <w:lang w:val="en-US"/>
              </w:rPr>
              <w:t>л</w:t>
            </w:r>
          </w:p>
        </w:tc>
        <w:tc>
          <w:tcPr>
            <w:tcW w:w="2288" w:type="dxa"/>
            <w:tcBorders>
              <w:left w:val="single" w:sz="4" w:space="0" w:color="000000"/>
              <w:bottom w:val="single" w:sz="4" w:space="0" w:color="000000"/>
              <w:right w:val="single" w:sz="4" w:space="0" w:color="000000"/>
            </w:tcBorders>
            <w:shd w:val="clear" w:color="auto" w:fill="auto"/>
            <w:vAlign w:val="center"/>
          </w:tcPr>
          <w:p w:rsidR="00BF4E7F" w:rsidRPr="00890289" w:rsidRDefault="00BF4E7F" w:rsidP="00E36DFA">
            <w:pPr>
              <w:snapToGrid w:val="0"/>
              <w:spacing w:before="0" w:after="0" w:line="240" w:lineRule="auto"/>
              <w:jc w:val="center"/>
            </w:pPr>
          </w:p>
        </w:tc>
      </w:tr>
      <w:tr w:rsidR="00BF4E7F" w:rsidRPr="00890289" w:rsidTr="00E36DFA">
        <w:tc>
          <w:tcPr>
            <w:tcW w:w="1764" w:type="dxa"/>
            <w:tcBorders>
              <w:top w:val="single" w:sz="4" w:space="0" w:color="000000"/>
              <w:left w:val="single" w:sz="4" w:space="0" w:color="000000"/>
            </w:tcBorders>
            <w:shd w:val="clear" w:color="auto" w:fill="auto"/>
            <w:vAlign w:val="center"/>
          </w:tcPr>
          <w:p w:rsidR="00BF4E7F" w:rsidRPr="00890289" w:rsidRDefault="00BF4E7F" w:rsidP="00E36DFA">
            <w:pPr>
              <w:autoSpaceDE w:val="0"/>
              <w:snapToGrid w:val="0"/>
              <w:spacing w:before="0" w:after="0" w:line="240" w:lineRule="auto"/>
              <w:jc w:val="center"/>
              <w:rPr>
                <w:rFonts w:eastAsia="Times New Roman"/>
                <w:lang w:val="en-US"/>
              </w:rPr>
            </w:pPr>
            <w:r w:rsidRPr="00890289">
              <w:rPr>
                <w:rFonts w:eastAsia="Times New Roman"/>
                <w:lang w:val="en-US"/>
              </w:rPr>
              <w:t>II</w:t>
            </w:r>
          </w:p>
        </w:tc>
        <w:tc>
          <w:tcPr>
            <w:tcW w:w="5040" w:type="dxa"/>
            <w:tcBorders>
              <w:top w:val="single" w:sz="4" w:space="0" w:color="000000"/>
              <w:left w:val="single" w:sz="4" w:space="0" w:color="000000"/>
            </w:tcBorders>
            <w:shd w:val="clear" w:color="auto" w:fill="auto"/>
            <w:vAlign w:val="center"/>
          </w:tcPr>
          <w:p w:rsidR="00BF4E7F" w:rsidRPr="00890289" w:rsidRDefault="00BF4E7F" w:rsidP="00E36DFA">
            <w:pPr>
              <w:autoSpaceDE w:val="0"/>
              <w:snapToGrid w:val="0"/>
              <w:spacing w:before="0" w:after="0" w:line="240" w:lineRule="auto"/>
              <w:jc w:val="center"/>
            </w:pPr>
            <w:r w:rsidRPr="00890289">
              <w:rPr>
                <w:rFonts w:eastAsia="Times New Roman"/>
                <w:lang w:val="en-US"/>
              </w:rPr>
              <w:t>β</w:t>
            </w:r>
            <w:r w:rsidRPr="00890289">
              <w:rPr>
                <w:rFonts w:eastAsia="Times New Roman"/>
              </w:rPr>
              <w:t>2-микроглобулин сыворотки &lt;3,5 мг/л</w:t>
            </w:r>
          </w:p>
        </w:tc>
        <w:tc>
          <w:tcPr>
            <w:tcW w:w="2288" w:type="dxa"/>
            <w:tcBorders>
              <w:top w:val="single" w:sz="4" w:space="0" w:color="000000"/>
              <w:left w:val="single" w:sz="4" w:space="0" w:color="000000"/>
              <w:right w:val="single" w:sz="4" w:space="0" w:color="000000"/>
            </w:tcBorders>
            <w:shd w:val="clear" w:color="auto" w:fill="auto"/>
            <w:vAlign w:val="center"/>
          </w:tcPr>
          <w:p w:rsidR="00BF4E7F" w:rsidRPr="00890289" w:rsidRDefault="00BF4E7F" w:rsidP="00E36DFA">
            <w:pPr>
              <w:snapToGrid w:val="0"/>
              <w:spacing w:before="0" w:after="0" w:line="240" w:lineRule="auto"/>
              <w:jc w:val="center"/>
              <w:rPr>
                <w:rFonts w:eastAsia="Times New Roman"/>
              </w:rPr>
            </w:pPr>
            <w:r w:rsidRPr="00890289">
              <w:t>44</w:t>
            </w:r>
          </w:p>
        </w:tc>
      </w:tr>
      <w:tr w:rsidR="00BF4E7F" w:rsidRPr="00890289" w:rsidTr="00E36DFA">
        <w:tc>
          <w:tcPr>
            <w:tcW w:w="1764" w:type="dxa"/>
            <w:tcBorders>
              <w:left w:val="single" w:sz="4" w:space="0" w:color="000000"/>
            </w:tcBorders>
            <w:shd w:val="clear" w:color="auto" w:fill="auto"/>
            <w:vAlign w:val="center"/>
          </w:tcPr>
          <w:p w:rsidR="00BF4E7F" w:rsidRPr="00890289" w:rsidRDefault="00BF4E7F" w:rsidP="00E36DFA">
            <w:pPr>
              <w:autoSpaceDE w:val="0"/>
              <w:snapToGrid w:val="0"/>
              <w:spacing w:before="0" w:after="0" w:line="240" w:lineRule="auto"/>
              <w:jc w:val="center"/>
              <w:rPr>
                <w:rFonts w:eastAsia="Times New Roman"/>
              </w:rPr>
            </w:pPr>
          </w:p>
        </w:tc>
        <w:tc>
          <w:tcPr>
            <w:tcW w:w="5040" w:type="dxa"/>
            <w:tcBorders>
              <w:left w:val="single" w:sz="4" w:space="0" w:color="000000"/>
            </w:tcBorders>
            <w:shd w:val="clear" w:color="auto" w:fill="auto"/>
            <w:vAlign w:val="center"/>
          </w:tcPr>
          <w:p w:rsidR="00BF4E7F" w:rsidRPr="00890289" w:rsidRDefault="00BF4E7F" w:rsidP="00E36DFA">
            <w:pPr>
              <w:autoSpaceDE w:val="0"/>
              <w:snapToGrid w:val="0"/>
              <w:spacing w:before="0" w:after="0" w:line="240" w:lineRule="auto"/>
              <w:jc w:val="center"/>
            </w:pPr>
            <w:r w:rsidRPr="00890289">
              <w:rPr>
                <w:rFonts w:eastAsia="Times New Roman"/>
                <w:lang w:val="en-US"/>
              </w:rPr>
              <w:t>Альбумин</w:t>
            </w:r>
            <w:r w:rsidR="00575248" w:rsidRPr="00890289">
              <w:rPr>
                <w:rFonts w:eastAsia="Times New Roman"/>
              </w:rPr>
              <w:t xml:space="preserve"> </w:t>
            </w:r>
            <w:r w:rsidRPr="00890289">
              <w:rPr>
                <w:rFonts w:eastAsia="Times New Roman"/>
                <w:lang w:val="en-US"/>
              </w:rPr>
              <w:t>&lt;3,5 г/</w:t>
            </w:r>
            <w:r w:rsidRPr="00890289">
              <w:rPr>
                <w:rFonts w:eastAsia="Times New Roman"/>
              </w:rPr>
              <w:t>д</w:t>
            </w:r>
            <w:r w:rsidRPr="00890289">
              <w:rPr>
                <w:rFonts w:eastAsia="Times New Roman"/>
                <w:lang w:val="en-US"/>
              </w:rPr>
              <w:t>л</w:t>
            </w:r>
          </w:p>
        </w:tc>
        <w:tc>
          <w:tcPr>
            <w:tcW w:w="2288" w:type="dxa"/>
            <w:tcBorders>
              <w:left w:val="single" w:sz="4" w:space="0" w:color="000000"/>
              <w:right w:val="single" w:sz="4" w:space="0" w:color="000000"/>
            </w:tcBorders>
            <w:shd w:val="clear" w:color="auto" w:fill="auto"/>
            <w:vAlign w:val="center"/>
          </w:tcPr>
          <w:p w:rsidR="00BF4E7F" w:rsidRPr="00890289" w:rsidRDefault="00BF4E7F" w:rsidP="00E36DFA">
            <w:pPr>
              <w:snapToGrid w:val="0"/>
              <w:spacing w:before="0" w:after="0" w:line="240" w:lineRule="auto"/>
              <w:jc w:val="center"/>
            </w:pPr>
          </w:p>
        </w:tc>
      </w:tr>
      <w:tr w:rsidR="00BF4E7F" w:rsidRPr="00890289" w:rsidTr="00E36DFA">
        <w:tc>
          <w:tcPr>
            <w:tcW w:w="1764" w:type="dxa"/>
            <w:tcBorders>
              <w:left w:val="single" w:sz="4" w:space="0" w:color="000000"/>
            </w:tcBorders>
            <w:shd w:val="clear" w:color="auto" w:fill="auto"/>
            <w:vAlign w:val="center"/>
          </w:tcPr>
          <w:p w:rsidR="00BF4E7F" w:rsidRPr="00890289" w:rsidRDefault="00BF4E7F" w:rsidP="00E36DFA">
            <w:pPr>
              <w:autoSpaceDE w:val="0"/>
              <w:snapToGrid w:val="0"/>
              <w:spacing w:before="0" w:after="0" w:line="240" w:lineRule="auto"/>
              <w:jc w:val="center"/>
              <w:rPr>
                <w:rFonts w:eastAsia="Times New Roman"/>
                <w:lang w:val="en-US"/>
              </w:rPr>
            </w:pPr>
          </w:p>
        </w:tc>
        <w:tc>
          <w:tcPr>
            <w:tcW w:w="5040" w:type="dxa"/>
            <w:tcBorders>
              <w:left w:val="single" w:sz="4" w:space="0" w:color="000000"/>
            </w:tcBorders>
            <w:shd w:val="clear" w:color="auto" w:fill="auto"/>
            <w:vAlign w:val="center"/>
          </w:tcPr>
          <w:p w:rsidR="00BF4E7F" w:rsidRPr="00890289" w:rsidRDefault="00BF4E7F" w:rsidP="00E36DFA">
            <w:pPr>
              <w:autoSpaceDE w:val="0"/>
              <w:snapToGrid w:val="0"/>
              <w:spacing w:before="0" w:after="0" w:line="240" w:lineRule="auto"/>
              <w:jc w:val="center"/>
            </w:pPr>
            <w:r w:rsidRPr="00890289">
              <w:rPr>
                <w:rFonts w:eastAsia="Times New Roman"/>
                <w:lang w:val="en-US"/>
              </w:rPr>
              <w:t>или</w:t>
            </w:r>
          </w:p>
        </w:tc>
        <w:tc>
          <w:tcPr>
            <w:tcW w:w="2288" w:type="dxa"/>
            <w:tcBorders>
              <w:left w:val="single" w:sz="4" w:space="0" w:color="000000"/>
              <w:right w:val="single" w:sz="4" w:space="0" w:color="000000"/>
            </w:tcBorders>
            <w:shd w:val="clear" w:color="auto" w:fill="auto"/>
            <w:vAlign w:val="center"/>
          </w:tcPr>
          <w:p w:rsidR="00BF4E7F" w:rsidRPr="00890289" w:rsidRDefault="00BF4E7F" w:rsidP="00E36DFA">
            <w:pPr>
              <w:snapToGrid w:val="0"/>
              <w:spacing w:before="0" w:after="0" w:line="240" w:lineRule="auto"/>
              <w:jc w:val="center"/>
            </w:pPr>
          </w:p>
        </w:tc>
      </w:tr>
      <w:tr w:rsidR="00BF4E7F" w:rsidRPr="00890289" w:rsidTr="00E36DFA">
        <w:tc>
          <w:tcPr>
            <w:tcW w:w="1764" w:type="dxa"/>
            <w:tcBorders>
              <w:left w:val="single" w:sz="4" w:space="0" w:color="000000"/>
              <w:bottom w:val="single" w:sz="4" w:space="0" w:color="000000"/>
            </w:tcBorders>
            <w:shd w:val="clear" w:color="auto" w:fill="auto"/>
            <w:vAlign w:val="center"/>
          </w:tcPr>
          <w:p w:rsidR="00BF4E7F" w:rsidRPr="00890289" w:rsidRDefault="00BF4E7F" w:rsidP="00E36DFA">
            <w:pPr>
              <w:autoSpaceDE w:val="0"/>
              <w:snapToGrid w:val="0"/>
              <w:spacing w:before="0" w:after="0" w:line="240" w:lineRule="auto"/>
              <w:jc w:val="center"/>
              <w:rPr>
                <w:rFonts w:eastAsia="Times New Roman"/>
                <w:lang w:val="en-US"/>
              </w:rPr>
            </w:pPr>
          </w:p>
        </w:tc>
        <w:tc>
          <w:tcPr>
            <w:tcW w:w="5040" w:type="dxa"/>
            <w:tcBorders>
              <w:left w:val="single" w:sz="4" w:space="0" w:color="000000"/>
              <w:bottom w:val="single" w:sz="4" w:space="0" w:color="000000"/>
            </w:tcBorders>
            <w:shd w:val="clear" w:color="auto" w:fill="auto"/>
            <w:vAlign w:val="center"/>
          </w:tcPr>
          <w:p w:rsidR="00BF4E7F" w:rsidRPr="00890289" w:rsidRDefault="00BF4E7F" w:rsidP="00E36DFA">
            <w:pPr>
              <w:autoSpaceDE w:val="0"/>
              <w:snapToGrid w:val="0"/>
              <w:spacing w:before="0" w:after="0" w:line="240" w:lineRule="auto"/>
              <w:jc w:val="center"/>
            </w:pPr>
            <w:r w:rsidRPr="00890289">
              <w:rPr>
                <w:rFonts w:eastAsia="Times New Roman"/>
                <w:lang w:val="en-US"/>
              </w:rPr>
              <w:t>β</w:t>
            </w:r>
            <w:r w:rsidRPr="00890289">
              <w:rPr>
                <w:rFonts w:eastAsia="Times New Roman"/>
              </w:rPr>
              <w:t>2-микроглобулин сыворотки 3,5</w:t>
            </w:r>
            <w:r w:rsidR="00575248" w:rsidRPr="00890289">
              <w:rPr>
                <w:rFonts w:eastAsia="Times New Roman"/>
              </w:rPr>
              <w:t>−</w:t>
            </w:r>
            <w:r w:rsidRPr="00890289">
              <w:rPr>
                <w:rFonts w:eastAsia="Times New Roman"/>
              </w:rPr>
              <w:t>5,5 мг/л</w:t>
            </w:r>
          </w:p>
        </w:tc>
        <w:tc>
          <w:tcPr>
            <w:tcW w:w="2288" w:type="dxa"/>
            <w:tcBorders>
              <w:left w:val="single" w:sz="4" w:space="0" w:color="000000"/>
              <w:bottom w:val="single" w:sz="4" w:space="0" w:color="000000"/>
              <w:right w:val="single" w:sz="4" w:space="0" w:color="000000"/>
            </w:tcBorders>
            <w:shd w:val="clear" w:color="auto" w:fill="auto"/>
            <w:vAlign w:val="center"/>
          </w:tcPr>
          <w:p w:rsidR="00BF4E7F" w:rsidRPr="00890289" w:rsidRDefault="00BF4E7F" w:rsidP="00E36DFA">
            <w:pPr>
              <w:snapToGrid w:val="0"/>
              <w:spacing w:before="0" w:after="0" w:line="240" w:lineRule="auto"/>
              <w:jc w:val="center"/>
            </w:pPr>
          </w:p>
        </w:tc>
      </w:tr>
      <w:tr w:rsidR="00BF4E7F" w:rsidRPr="00890289" w:rsidTr="00E36DFA">
        <w:tc>
          <w:tcPr>
            <w:tcW w:w="1764" w:type="dxa"/>
            <w:tcBorders>
              <w:top w:val="single" w:sz="4" w:space="0" w:color="000000"/>
              <w:left w:val="single" w:sz="4" w:space="0" w:color="000000"/>
              <w:bottom w:val="single" w:sz="4" w:space="0" w:color="000000"/>
            </w:tcBorders>
            <w:shd w:val="clear" w:color="auto" w:fill="auto"/>
            <w:vAlign w:val="center"/>
          </w:tcPr>
          <w:p w:rsidR="00BF4E7F" w:rsidRPr="00890289" w:rsidRDefault="00BF4E7F" w:rsidP="00E36DFA">
            <w:pPr>
              <w:autoSpaceDE w:val="0"/>
              <w:snapToGrid w:val="0"/>
              <w:spacing w:before="0" w:after="0" w:line="240" w:lineRule="auto"/>
              <w:jc w:val="center"/>
              <w:rPr>
                <w:rFonts w:eastAsia="Times New Roman"/>
                <w:lang w:val="en-US"/>
              </w:rPr>
            </w:pPr>
            <w:r w:rsidRPr="00890289">
              <w:rPr>
                <w:rFonts w:eastAsia="Times New Roman"/>
                <w:lang w:val="en-US"/>
              </w:rPr>
              <w:t>III</w:t>
            </w:r>
          </w:p>
        </w:tc>
        <w:tc>
          <w:tcPr>
            <w:tcW w:w="5040" w:type="dxa"/>
            <w:tcBorders>
              <w:top w:val="single" w:sz="4" w:space="0" w:color="000000"/>
              <w:left w:val="single" w:sz="4" w:space="0" w:color="000000"/>
              <w:bottom w:val="single" w:sz="4" w:space="0" w:color="000000"/>
            </w:tcBorders>
            <w:shd w:val="clear" w:color="auto" w:fill="auto"/>
            <w:vAlign w:val="center"/>
          </w:tcPr>
          <w:p w:rsidR="00BF4E7F" w:rsidRPr="00890289" w:rsidRDefault="00BF4E7F" w:rsidP="00E36DFA">
            <w:pPr>
              <w:autoSpaceDE w:val="0"/>
              <w:snapToGrid w:val="0"/>
              <w:spacing w:before="0" w:after="0" w:line="240" w:lineRule="auto"/>
              <w:jc w:val="center"/>
            </w:pPr>
            <w:r w:rsidRPr="00890289">
              <w:rPr>
                <w:rFonts w:eastAsia="Times New Roman"/>
                <w:lang w:val="en-US"/>
              </w:rPr>
              <w:t>β2</w:t>
            </w:r>
            <w:r w:rsidRPr="00890289">
              <w:rPr>
                <w:rFonts w:eastAsia="Times New Roman"/>
              </w:rPr>
              <w:t>-</w:t>
            </w:r>
            <w:r w:rsidRPr="00890289">
              <w:rPr>
                <w:rFonts w:eastAsia="Times New Roman"/>
                <w:lang w:val="en-US"/>
              </w:rPr>
              <w:t>микроглобулин</w:t>
            </w:r>
            <w:r w:rsidR="00575248" w:rsidRPr="00890289">
              <w:rPr>
                <w:rFonts w:eastAsia="Times New Roman"/>
              </w:rPr>
              <w:t xml:space="preserve"> </w:t>
            </w:r>
            <w:r w:rsidRPr="00EC2640">
              <w:rPr>
                <w:rFonts w:eastAsia="Times New Roman" w:cs="Calibri"/>
                <w:lang w:val="en-US"/>
              </w:rPr>
              <w:t>≥</w:t>
            </w:r>
            <w:r w:rsidRPr="00890289">
              <w:rPr>
                <w:rFonts w:eastAsia="Times New Roman"/>
                <w:lang w:val="en-US"/>
              </w:rPr>
              <w:t>5,5 мг/л</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4E7F" w:rsidRPr="00890289" w:rsidRDefault="00BF4E7F" w:rsidP="00E36DFA">
            <w:pPr>
              <w:snapToGrid w:val="0"/>
              <w:spacing w:before="0" w:after="0" w:line="240" w:lineRule="auto"/>
              <w:jc w:val="center"/>
            </w:pPr>
            <w:r w:rsidRPr="00890289">
              <w:t>29</w:t>
            </w:r>
          </w:p>
        </w:tc>
      </w:tr>
    </w:tbl>
    <w:p w:rsidR="00575248" w:rsidRDefault="00575248" w:rsidP="00E36DFA">
      <w:pPr>
        <w:pStyle w:val="a3"/>
        <w:spacing w:before="0" w:beforeAutospacing="0" w:after="0" w:afterAutospacing="0" w:line="360" w:lineRule="auto"/>
        <w:ind w:firstLine="709"/>
        <w:jc w:val="both"/>
      </w:pPr>
    </w:p>
    <w:p w:rsidR="004A458B" w:rsidRPr="00890289" w:rsidRDefault="004A458B" w:rsidP="00E36DFA">
      <w:pPr>
        <w:pStyle w:val="a3"/>
        <w:spacing w:before="0" w:beforeAutospacing="0" w:after="0" w:afterAutospacing="0" w:line="360" w:lineRule="auto"/>
        <w:ind w:firstLine="709"/>
        <w:jc w:val="both"/>
      </w:pPr>
      <w:r>
        <w:t>В 2014 г</w:t>
      </w:r>
      <w:r w:rsidR="00575248">
        <w:t>.</w:t>
      </w:r>
      <w:r>
        <w:t xml:space="preserve"> </w:t>
      </w:r>
      <w:r w:rsidR="007809BE">
        <w:rPr>
          <w:lang w:val="en-US"/>
        </w:rPr>
        <w:t>ISS</w:t>
      </w:r>
      <w:r>
        <w:t xml:space="preserve"> была пересмотрена (revised ISS; R-ISS). Кроме показателей β2-микроглобулина и альбумина сыворотки R-ISS учитывает наличие неблагоприятных хромосомных аномалий и высокий уровень </w:t>
      </w:r>
      <w:r w:rsidR="0085349A" w:rsidRPr="0085349A">
        <w:t>лактатдегидрогеназ</w:t>
      </w:r>
      <w:r w:rsidR="0085349A">
        <w:t>ы (</w:t>
      </w:r>
      <w:r>
        <w:t>ЛДГ</w:t>
      </w:r>
      <w:r w:rsidR="0085349A">
        <w:t>)</w:t>
      </w:r>
      <w:r>
        <w:t xml:space="preserve"> (табл.</w:t>
      </w:r>
      <w:r w:rsidR="0085349A">
        <w:t xml:space="preserve"> </w:t>
      </w:r>
      <w:r>
        <w:t>3)</w:t>
      </w:r>
      <w:r w:rsidR="002E3E42" w:rsidRPr="002E3E42">
        <w:t xml:space="preserve"> </w:t>
      </w:r>
      <w:r w:rsidR="00A96FB6">
        <w:rPr>
          <w:rStyle w:val="ab"/>
          <w:b w:val="0"/>
        </w:rPr>
        <w:fldChar w:fldCharType="begin" w:fldLock="1"/>
      </w:r>
      <w:r w:rsidR="00131E36">
        <w:rPr>
          <w:rStyle w:val="ab"/>
          <w:b w:val="0"/>
        </w:rPr>
        <w:instrText>ADDIN CSL_CITATION {"citationItems":[{"id":"ITEM-1","itemData":{"DOI":"10.1200/JCO.2015.61.2267","ISSN":"15277755","abstract":"PURPOSE The clinical outcome of multiple myeloma (MM) is heterogeneous. A simple and reliable tool is needed to stratify patients with MM. We combined the International Staging System (ISS) with chromosomal abnormalities (CA) detected by interphase fluorescent in situ hybridization after CD138 plasma cell purification and serum lactate dehydrogenase (LDH) to evaluate their prognostic value in newly diagnosed MM (NDMM). PATIENTS AND METHODS Clinical and laboratory data from 4,445 patients with NDMM enrolled onto 11 international trials were pooled together. The K-adaptive partitioning algorithm was used to define the most appropriate subgroups with homogeneous survival. RESULTS ISS, CA, and LDH data were simultaneously available in 3,060 of 4,445 patients. We defined the following three groups: revised ISS (R-ISS) I (n = 871), including ISS stage I (serum β2-microglobulin level &lt; 3.5 mg/L and serum albumin level ≥ 3.5 g/dL), no high-risk CA [del(17p) and/or t(4;14) and/or t(14;16)], and normal LDH level (less than the upper limit of normal range); R-ISS III (n = 295), including ISS stage III (serum β2-microglobulin level &gt; 5.5 mg/L) and high-risk CA or high LDH level; and R-ISS II (n = 1,894), including all the other possible combinations. At a median follow-up of 46 months, the 5-year OS rate was 82% in the R-ISS I, 62% in the R-ISS II, and 40% in the R-ISS III groups; the 5-year PFS rates were 55%, 36%, and 24%, respectively. CONCLUSION The R-ISS is a simple and powerful prognostic staging system, and we recommend its use in future clinical studies to stratify patients with NDMM effectively with respect to the relative risk to their survival.","author":[{"dropping-particle":"","family":"Palumbo","given":"Antonio","non-dropping-particle":"","parse-names":false,"suffix":""},{"dropping-particle":"","family":"Avet-Loiseau","given":"Hervé","non-dropping-particle":"","parse-names":false,"suffix":""},{"dropping-particle":"","family":"Oliva","given":"Stefania","non-dropping-particle":"","parse-names":false,"suffix":""},{"dropping-particle":"","family":"Lokhorst","given":"Henk M.","non-dropping-particle":"","parse-names":false,"suffix":""},{"dropping-particle":"","family":"Goldschmidt","given":"Hartmut","non-dropping-particle":"","parse-names":false,"suffix":""},{"dropping-particle":"","family":"Rosinol","given":"Laura","non-dropping-particle":"","parse-names":false,"suffix":""},{"dropping-particle":"","family":"Richardson","given":"Paul","non-dropping-particle":"","parse-names":false,"suffix":""},{"dropping-particle":"","family":"Caltagirone","given":"Simona","non-dropping-particle":"","parse-names":false,"suffix":""},{"dropping-particle":"","family":"Lahuerta","given":"Juan José","non-dropping-particle":"","parse-names":false,"suffix":""},{"dropping-particle":"","family":"Facon","given":"Thierry","non-dropping-particle":"","parse-names":false,"suffix":""},{"dropping-particle":"","family":"Bringhen","given":"Sara","non-dropping-particle":"","parse-names":false,"suffix":""},{"dropping-particle":"","family":"Gay","given":"Francesca","non-dropping-particle":"","parse-names":false,"suffix":""},{"dropping-particle":"","family":"Attal","given":"Michel","non-dropping-particle":"","parse-names":false,"suffix":""},{"dropping-particle":"","family":"Passera","given":"Roberto","non-dropping-particle":"","parse-names":false,"suffix":""},{"dropping-particle":"","family":"Spencer","given":"Andrew","non-dropping-particle":"","parse-names":false,"suffix":""},{"dropping-particle":"","family":"Offidani","given":"Massimo","non-dropping-particle":"","parse-names":false,"suffix":""},{"dropping-particle":"","family":"Kumar","given":"Shaji","non-dropping-particle":"","parse-names":false,"suffix":""},{"dropping-particle":"","family":"Musto","given":"Pellegrino","non-dropping-particle":"","parse-names":false,"suffix":""},{"dropping-particle":"","family":"Lonial","given":"Sagar","non-dropping-particle":"","parse-names":false,"suffix":""},{"dropping-particle":"","family":"Petrucci","given":"Maria T.","non-dropping-particle":"","parse-names":false,"suffix":""},{"dropping-particle":"","family":"Orlowski","given":"Robert Z.","non-dropping-particle":"","parse-names":false,"suffix":""},{"dropping-particle":"","family":"Zamagni","given":"Elena","non-dropping-particle":"","parse-names":false,"suffix":""},{"dropping-particle":"","family":"Morgan","given":"Gareth","non-dropping-particle":"","parse-names":false,"suffix":""},{"dropping-particle":"","family":"Dimopoulos","given":"Meletios A.","non-dropping-particle":"","parse-names":false,"suffix":""},{"dropping-particle":"","family":"Durie","given":"Brian G.M.","non-dropping-particle":"","parse-names":false,"suffix":""},{"dropping-particle":"","family":"Anderson","given":"Kenneth C.","non-dropping-particle":"","parse-names":false,"suffix":""},{"dropping-particle":"","family":"Sonneveld","given":"Pieter","non-dropping-particle":"","parse-names":false,"suffix":""},{"dropping-particle":"","family":"Miguel","given":"Jésus San","non-dropping-particle":"","parse-names":false,"suffix":""},{"dropping-particle":"","family":"Cavo","given":"Michele","non-dropping-particle":"","parse-names":false,"suffix":""},{"dropping-particle":"","family":"Rajkumar","given":"S. Vincent","non-dropping-particle":"","parse-names":false,"suffix":""},{"dropping-particle":"","family":"Moreau","given":"Philippe","non-dropping-particle":"","parse-names":false,"suffix":""}],"container-title":"Journal of Clinical Oncology","id":"ITEM-1","issue":"26","issued":{"date-parts":[["2015"]]},"page":"2863-2869","publisher":"American Society of Clinical Oncology","title":"Revised international staging system for multiple myeloma: A report from international myeloma working group","type":"article-journal","volume":"33"},"uris":["http://www.mendeley.com/documents/?uuid=dc5fa189-ca83-351a-8e2c-68a7d7d762af"]}],"mendeley":{"formattedCitation":"[13]","plainTextFormattedCitation":"[13]","previouslyFormattedCitation":"[13]"},"properties":{"noteIndex":0},"schema":"https://github.com/citation-style-language/schema/raw/master/csl-citation.json"}</w:instrText>
      </w:r>
      <w:r w:rsidR="00A96FB6">
        <w:rPr>
          <w:rStyle w:val="ab"/>
          <w:b w:val="0"/>
        </w:rPr>
        <w:fldChar w:fldCharType="separate"/>
      </w:r>
      <w:r w:rsidR="002E3E42" w:rsidRPr="002E3E42">
        <w:rPr>
          <w:rStyle w:val="ab"/>
          <w:b w:val="0"/>
          <w:noProof/>
        </w:rPr>
        <w:t>[13]</w:t>
      </w:r>
      <w:r w:rsidR="00A96FB6">
        <w:rPr>
          <w:rStyle w:val="ab"/>
          <w:b w:val="0"/>
        </w:rPr>
        <w:fldChar w:fldCharType="end"/>
      </w:r>
      <w:r>
        <w:t>.</w:t>
      </w:r>
    </w:p>
    <w:p w:rsidR="004A458B" w:rsidRDefault="004A458B" w:rsidP="00E36DFA">
      <w:pPr>
        <w:pStyle w:val="a3"/>
        <w:spacing w:before="0" w:beforeAutospacing="0" w:after="0" w:afterAutospacing="0" w:line="360" w:lineRule="auto"/>
      </w:pPr>
      <w:r>
        <w:rPr>
          <w:rStyle w:val="ab"/>
        </w:rPr>
        <w:t>Таблица 3. </w:t>
      </w:r>
      <w:r>
        <w:t xml:space="preserve">Стандартные факторы риска </w:t>
      </w:r>
      <w:r w:rsidR="0085349A">
        <w:t>ММ</w:t>
      </w:r>
      <w:r>
        <w:t xml:space="preserve"> и R-ISS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957CAB" w:rsidRPr="00890289" w:rsidTr="00E36DFA">
        <w:tc>
          <w:tcPr>
            <w:tcW w:w="4785" w:type="dxa"/>
            <w:shd w:val="clear" w:color="auto" w:fill="auto"/>
          </w:tcPr>
          <w:p w:rsidR="00957CAB" w:rsidRPr="00890289" w:rsidRDefault="00957CAB" w:rsidP="00E36DFA">
            <w:pPr>
              <w:spacing w:line="240" w:lineRule="auto"/>
            </w:pPr>
            <w:r w:rsidRPr="00890289">
              <w:t>Прогностический фактор</w:t>
            </w:r>
          </w:p>
        </w:tc>
        <w:tc>
          <w:tcPr>
            <w:tcW w:w="4786" w:type="dxa"/>
            <w:shd w:val="clear" w:color="auto" w:fill="auto"/>
          </w:tcPr>
          <w:p w:rsidR="00957CAB" w:rsidRPr="00890289" w:rsidRDefault="00957CAB" w:rsidP="00E36DFA">
            <w:pPr>
              <w:spacing w:line="240" w:lineRule="auto"/>
            </w:pPr>
            <w:r w:rsidRPr="00890289">
              <w:t>Критерии</w:t>
            </w:r>
          </w:p>
        </w:tc>
      </w:tr>
      <w:tr w:rsidR="00957CAB" w:rsidRPr="00890289" w:rsidTr="00E36DFA">
        <w:trPr>
          <w:trHeight w:val="1782"/>
        </w:trPr>
        <w:tc>
          <w:tcPr>
            <w:tcW w:w="4785" w:type="dxa"/>
            <w:shd w:val="clear" w:color="auto" w:fill="auto"/>
          </w:tcPr>
          <w:p w:rsidR="00957CAB" w:rsidRPr="00890289" w:rsidRDefault="00957CAB" w:rsidP="00E36DFA">
            <w:pPr>
              <w:spacing w:line="240" w:lineRule="auto"/>
              <w:rPr>
                <w:lang w:val="en-US"/>
              </w:rPr>
            </w:pPr>
            <w:r w:rsidRPr="00890289">
              <w:t>Стадии</w:t>
            </w:r>
            <w:r w:rsidRPr="00890289">
              <w:rPr>
                <w:lang w:val="en-US"/>
              </w:rPr>
              <w:t xml:space="preserve"> ISS</w:t>
            </w:r>
          </w:p>
          <w:p w:rsidR="00957CAB" w:rsidRPr="00890289" w:rsidRDefault="00957CAB" w:rsidP="00E36DFA">
            <w:pPr>
              <w:spacing w:line="240" w:lineRule="auto"/>
              <w:rPr>
                <w:lang w:val="en-US"/>
              </w:rPr>
            </w:pPr>
            <w:r w:rsidRPr="00890289">
              <w:rPr>
                <w:lang w:val="en-US"/>
              </w:rPr>
              <w:t>I</w:t>
            </w:r>
          </w:p>
          <w:p w:rsidR="00957CAB" w:rsidRPr="00890289" w:rsidRDefault="00957CAB" w:rsidP="00E36DFA">
            <w:pPr>
              <w:spacing w:line="240" w:lineRule="auto"/>
              <w:rPr>
                <w:lang w:val="en-US"/>
              </w:rPr>
            </w:pPr>
            <w:r w:rsidRPr="00890289">
              <w:rPr>
                <w:lang w:val="en-US"/>
              </w:rPr>
              <w:t>II</w:t>
            </w:r>
          </w:p>
          <w:p w:rsidR="00957CAB" w:rsidRPr="00890289" w:rsidRDefault="00957CAB" w:rsidP="00E36DFA">
            <w:pPr>
              <w:spacing w:before="0" w:after="160" w:line="240" w:lineRule="auto"/>
              <w:jc w:val="left"/>
              <w:rPr>
                <w:lang w:val="en-US"/>
              </w:rPr>
            </w:pPr>
            <w:r w:rsidRPr="00890289">
              <w:rPr>
                <w:lang w:val="en-US"/>
              </w:rPr>
              <w:t>III</w:t>
            </w:r>
          </w:p>
        </w:tc>
        <w:tc>
          <w:tcPr>
            <w:tcW w:w="4786" w:type="dxa"/>
            <w:shd w:val="clear" w:color="auto" w:fill="auto"/>
          </w:tcPr>
          <w:p w:rsidR="00957CAB" w:rsidRPr="00890289" w:rsidRDefault="00957CAB" w:rsidP="00E36DFA">
            <w:pPr>
              <w:spacing w:line="240" w:lineRule="auto"/>
            </w:pPr>
            <w:r w:rsidRPr="00890289">
              <w:t>β-2 микроглобулин сыворотки &lt;3,5 мг/л, альбумин ≥3,5 г/дл</w:t>
            </w:r>
          </w:p>
          <w:p w:rsidR="00957CAB" w:rsidRPr="00890289" w:rsidRDefault="00957CAB" w:rsidP="00E36DFA">
            <w:pPr>
              <w:spacing w:line="240" w:lineRule="auto"/>
            </w:pPr>
            <w:r w:rsidRPr="00890289">
              <w:t>Критерии не соответствуют I или III стадиям</w:t>
            </w:r>
          </w:p>
          <w:p w:rsidR="00957CAB" w:rsidRPr="00890289" w:rsidRDefault="00957CAB" w:rsidP="00E36DFA">
            <w:pPr>
              <w:spacing w:line="240" w:lineRule="auto"/>
            </w:pPr>
            <w:r w:rsidRPr="00890289">
              <w:t>β2-микроглобулин ≥5,5 мг/л</w:t>
            </w:r>
          </w:p>
        </w:tc>
      </w:tr>
      <w:tr w:rsidR="00957CAB" w:rsidRPr="00890289" w:rsidTr="00E36DFA">
        <w:tc>
          <w:tcPr>
            <w:tcW w:w="4785" w:type="dxa"/>
            <w:shd w:val="clear" w:color="auto" w:fill="auto"/>
          </w:tcPr>
          <w:p w:rsidR="00957CAB" w:rsidRPr="00890289" w:rsidRDefault="00957CAB" w:rsidP="00E36DFA">
            <w:pPr>
              <w:spacing w:line="240" w:lineRule="auto"/>
            </w:pPr>
            <w:r w:rsidRPr="00890289">
              <w:t>Цитогенетические аномалии по FISH</w:t>
            </w:r>
          </w:p>
          <w:p w:rsidR="00957CAB" w:rsidRPr="00890289" w:rsidRDefault="00957CAB" w:rsidP="00E36DFA">
            <w:pPr>
              <w:spacing w:line="240" w:lineRule="auto"/>
            </w:pPr>
            <w:r w:rsidRPr="00890289">
              <w:t>Высокий риск</w:t>
            </w:r>
          </w:p>
          <w:p w:rsidR="00957CAB" w:rsidRPr="00890289" w:rsidRDefault="00957CAB" w:rsidP="00E36DFA">
            <w:pPr>
              <w:spacing w:line="240" w:lineRule="auto"/>
            </w:pPr>
            <w:r w:rsidRPr="00890289">
              <w:t>Стандартный риск</w:t>
            </w:r>
          </w:p>
        </w:tc>
        <w:tc>
          <w:tcPr>
            <w:tcW w:w="4786" w:type="dxa"/>
            <w:shd w:val="clear" w:color="auto" w:fill="auto"/>
          </w:tcPr>
          <w:p w:rsidR="00957CAB" w:rsidRPr="00890289" w:rsidRDefault="00957CAB" w:rsidP="00E36DFA">
            <w:pPr>
              <w:spacing w:line="240" w:lineRule="auto"/>
            </w:pPr>
            <w:r w:rsidRPr="00890289">
              <w:t>Наличие del 17p и/или транслокации t(4;14) и/или транслокации t(14;16)</w:t>
            </w:r>
          </w:p>
          <w:p w:rsidR="00957CAB" w:rsidRPr="00890289" w:rsidRDefault="00957CAB" w:rsidP="00E36DFA">
            <w:pPr>
              <w:spacing w:line="240" w:lineRule="auto"/>
            </w:pPr>
            <w:r w:rsidRPr="00890289">
              <w:t>Отсутствие цитогенетических аномалий высокого риска</w:t>
            </w:r>
          </w:p>
        </w:tc>
      </w:tr>
      <w:tr w:rsidR="00957CAB" w:rsidRPr="00890289" w:rsidTr="00E36DFA">
        <w:tc>
          <w:tcPr>
            <w:tcW w:w="4785" w:type="dxa"/>
            <w:shd w:val="clear" w:color="auto" w:fill="auto"/>
          </w:tcPr>
          <w:p w:rsidR="00957CAB" w:rsidRPr="00890289" w:rsidRDefault="00957CAB" w:rsidP="00E36DFA">
            <w:pPr>
              <w:tabs>
                <w:tab w:val="left" w:pos="3030"/>
              </w:tabs>
              <w:spacing w:line="240" w:lineRule="auto"/>
            </w:pPr>
            <w:r w:rsidRPr="00890289">
              <w:t>ЛДГ</w:t>
            </w:r>
          </w:p>
          <w:p w:rsidR="00957CAB" w:rsidRPr="00890289" w:rsidRDefault="00957CAB" w:rsidP="00E36DFA">
            <w:pPr>
              <w:tabs>
                <w:tab w:val="left" w:pos="3030"/>
              </w:tabs>
              <w:spacing w:line="240" w:lineRule="auto"/>
            </w:pPr>
            <w:r w:rsidRPr="00890289">
              <w:t>Норма</w:t>
            </w:r>
          </w:p>
          <w:p w:rsidR="00957CAB" w:rsidRPr="00890289" w:rsidRDefault="00957CAB" w:rsidP="00E36DFA">
            <w:pPr>
              <w:tabs>
                <w:tab w:val="left" w:pos="3030"/>
              </w:tabs>
              <w:spacing w:line="240" w:lineRule="auto"/>
            </w:pPr>
            <w:r w:rsidRPr="00890289">
              <w:t>Высокий уровень</w:t>
            </w:r>
          </w:p>
        </w:tc>
        <w:tc>
          <w:tcPr>
            <w:tcW w:w="4786" w:type="dxa"/>
            <w:shd w:val="clear" w:color="auto" w:fill="auto"/>
          </w:tcPr>
          <w:p w:rsidR="00957CAB" w:rsidRPr="00890289" w:rsidRDefault="00957CAB" w:rsidP="00E36DFA">
            <w:pPr>
              <w:spacing w:line="240" w:lineRule="auto"/>
            </w:pPr>
            <w:r w:rsidRPr="00890289">
              <w:t>ЛДГ сыворотки ниже верхней границы нормального уровня</w:t>
            </w:r>
          </w:p>
          <w:p w:rsidR="00957CAB" w:rsidRPr="00890289" w:rsidRDefault="00957CAB" w:rsidP="00E36DFA">
            <w:pPr>
              <w:spacing w:line="240" w:lineRule="auto"/>
            </w:pPr>
            <w:r w:rsidRPr="00890289">
              <w:t>ЛДГ сыворотки выше верхней границы нормального уровня</w:t>
            </w:r>
          </w:p>
        </w:tc>
      </w:tr>
      <w:tr w:rsidR="00957CAB" w:rsidRPr="00890289" w:rsidTr="00E36DFA">
        <w:tc>
          <w:tcPr>
            <w:tcW w:w="4785" w:type="dxa"/>
            <w:shd w:val="clear" w:color="auto" w:fill="auto"/>
          </w:tcPr>
          <w:p w:rsidR="00957CAB" w:rsidRPr="00890289" w:rsidRDefault="00957CAB" w:rsidP="00E36DFA">
            <w:pPr>
              <w:spacing w:line="240" w:lineRule="auto"/>
              <w:jc w:val="left"/>
            </w:pPr>
            <w:r w:rsidRPr="00890289">
              <w:t>Новая модель стратификационного риска ММ</w:t>
            </w:r>
          </w:p>
          <w:p w:rsidR="00957CAB" w:rsidRPr="00890289" w:rsidRDefault="00957CAB" w:rsidP="00E36DFA">
            <w:pPr>
              <w:spacing w:line="240" w:lineRule="auto"/>
              <w:jc w:val="left"/>
            </w:pPr>
            <w:r w:rsidRPr="00890289">
              <w:t>Стадии R-ISS</w:t>
            </w:r>
          </w:p>
          <w:p w:rsidR="00957CAB" w:rsidRPr="00890289" w:rsidRDefault="00957CAB" w:rsidP="00E36DFA">
            <w:pPr>
              <w:spacing w:line="240" w:lineRule="auto"/>
              <w:jc w:val="left"/>
            </w:pPr>
            <w:r w:rsidRPr="00890289">
              <w:t>I</w:t>
            </w:r>
          </w:p>
          <w:p w:rsidR="00957CAB" w:rsidRPr="00890289" w:rsidRDefault="00957CAB" w:rsidP="00E36DFA">
            <w:pPr>
              <w:spacing w:line="240" w:lineRule="auto"/>
              <w:jc w:val="left"/>
            </w:pPr>
            <w:r w:rsidRPr="00890289">
              <w:t>II</w:t>
            </w:r>
          </w:p>
          <w:p w:rsidR="00957CAB" w:rsidRPr="00890289" w:rsidRDefault="00957CAB" w:rsidP="00E36DFA">
            <w:pPr>
              <w:spacing w:line="240" w:lineRule="auto"/>
              <w:jc w:val="left"/>
            </w:pPr>
            <w:r w:rsidRPr="00890289">
              <w:t>III</w:t>
            </w:r>
          </w:p>
        </w:tc>
        <w:tc>
          <w:tcPr>
            <w:tcW w:w="4786" w:type="dxa"/>
            <w:shd w:val="clear" w:color="auto" w:fill="auto"/>
          </w:tcPr>
          <w:p w:rsidR="00957CAB" w:rsidRPr="00890289" w:rsidRDefault="00957CAB" w:rsidP="00E36DFA">
            <w:pPr>
              <w:spacing w:line="240" w:lineRule="auto"/>
            </w:pPr>
            <w:r w:rsidRPr="00890289">
              <w:t>ISS-стадия I, цитогенетические аномалии стандартного риска по FISH и нормальный уровень ЛДГ</w:t>
            </w:r>
          </w:p>
          <w:p w:rsidR="00957CAB" w:rsidRPr="00890289" w:rsidRDefault="00957CAB" w:rsidP="00E36DFA">
            <w:pPr>
              <w:spacing w:line="240" w:lineRule="auto"/>
            </w:pPr>
            <w:r w:rsidRPr="00890289">
              <w:t>Критерии не соответствуют I или III стадиям R-ISS</w:t>
            </w:r>
          </w:p>
          <w:p w:rsidR="00957CAB" w:rsidRPr="00890289" w:rsidRDefault="00957CAB" w:rsidP="00E36DFA">
            <w:pPr>
              <w:spacing w:line="240" w:lineRule="auto"/>
            </w:pPr>
            <w:r w:rsidRPr="00890289">
              <w:t>ISS стадия III и/или цитогенетические аномалии высокого риска по FISH или высокий уровень ЛДГ</w:t>
            </w:r>
          </w:p>
        </w:tc>
      </w:tr>
    </w:tbl>
    <w:p w:rsidR="00756E45" w:rsidRPr="00971A8A" w:rsidRDefault="0072722C" w:rsidP="00E36DFA">
      <w:pPr>
        <w:pStyle w:val="2"/>
      </w:pPr>
      <w:bookmarkStart w:id="14" w:name="_Toc24826806"/>
      <w:r w:rsidRPr="00971A8A">
        <w:lastRenderedPageBreak/>
        <w:t>1</w:t>
      </w:r>
      <w:r w:rsidR="00756E45" w:rsidRPr="00971A8A">
        <w:t>.6 Клиническая картина</w:t>
      </w:r>
      <w:r w:rsidR="00F56B62" w:rsidRPr="00971A8A">
        <w:t xml:space="preserve"> заболевания или состояния (группы заболеваний или состояний)</w:t>
      </w:r>
      <w:bookmarkEnd w:id="14"/>
    </w:p>
    <w:p w:rsidR="00B940F3" w:rsidRDefault="00A851FE" w:rsidP="00131E36">
      <w:pPr>
        <w:spacing w:before="0" w:after="0"/>
        <w:ind w:firstLine="709"/>
        <w:contextualSpacing/>
      </w:pPr>
      <w:r>
        <w:t xml:space="preserve">Клинические проявления ММ чрезвычайно разнообразны, но в значительной мере определяются </w:t>
      </w:r>
      <w:r w:rsidR="00B940F3">
        <w:t xml:space="preserve">инфильтрацией костного мозга </w:t>
      </w:r>
      <w:r w:rsidR="003A6BE5">
        <w:t>ПК</w:t>
      </w:r>
      <w:r w:rsidR="00B940F3">
        <w:t xml:space="preserve"> и органными повреждениями. Клинические признаки ММ проявляются симптомами, обусловленными костными повреждениями (боли в костях, переломы костей скелета, компрессия спинного мозга, радикулярные боли), гиперкальциемией (полиурия, полидипсия, тошнота, рвота), почечной недостаточностью (тошнота, рвота, недомогание, слабость), амилоидозом (периферическая нейропатия, отеки, органомегалия</w:t>
      </w:r>
      <w:r w:rsidR="00B97938">
        <w:t>), инфильтрацией миеломными клетками костного мозга (анемия, геморрагический синдром), снижением уровня нормальных иммуноглобулинов (частые инфекции, пневмонии), криоглобулинемией (синдром Рейно, акроцианоз), синдромом гипервязкости (одышка, транзиторные ишемические атаки, тромбоз глубоких вен, кровоизлияния в сетчатку глаза, тромбоз центральной вены сетчатки или ее ветвей, носовые кровотечения)</w:t>
      </w:r>
      <w:r w:rsidR="00131E36">
        <w:t xml:space="preserve"> </w:t>
      </w:r>
      <w:r w:rsidR="00A96FB6">
        <w:fldChar w:fldCharType="begin" w:fldLock="1"/>
      </w:r>
      <w:r w:rsidR="00131E36">
        <w:instrText>ADDIN CSL_CITATION {"citationItems":[{"id":"ITEM-1","itemData":{"author":[{"dropping-particle":"","family":"Бессмельцев","given":"С.С.","non-dropping-particle":"","parse-names":false,"suffix":""}],"container-title":"Вестник гематологии.","id":"ITEM-1","issue":"3","issued":{"date-parts":[["2014"]]},"page":"6-39","title":"Множественная миелома (лекция).","type":"article-journal","volume":"10"},"uris":["http://www.mendeley.com/documents/?uuid=1498007c-e9c9-4d2e-b25d-194ee99dadd9"]}],"mendeley":{"formattedCitation":"[10]","plainTextFormattedCitation":"[10]","previouslyFormattedCitation":"[10]"},"properties":{"noteIndex":0},"schema":"https://github.com/citation-style-language/schema/raw/master/csl-citation.json"}</w:instrText>
      </w:r>
      <w:r w:rsidR="00A96FB6">
        <w:fldChar w:fldCharType="separate"/>
      </w:r>
      <w:r w:rsidR="00131E36" w:rsidRPr="00131E36">
        <w:rPr>
          <w:noProof/>
        </w:rPr>
        <w:t>[10]</w:t>
      </w:r>
      <w:r w:rsidR="00A96FB6">
        <w:fldChar w:fldCharType="end"/>
      </w:r>
      <w:r w:rsidR="00B97938">
        <w:t>.</w:t>
      </w:r>
    </w:p>
    <w:p w:rsidR="00756E45" w:rsidRDefault="00756E45" w:rsidP="00131E36">
      <w:pPr>
        <w:spacing w:before="0" w:after="0"/>
        <w:ind w:firstLine="709"/>
        <w:contextualSpacing/>
      </w:pPr>
      <w:r w:rsidRPr="00756E45">
        <w:t xml:space="preserve">Длительность заболевания до появления первых клинических симптомов может составлять от нескольких месяцев до </w:t>
      </w:r>
      <w:r w:rsidR="006208D0">
        <w:t>≥</w:t>
      </w:r>
      <w:r w:rsidRPr="00756E45">
        <w:t>2</w:t>
      </w:r>
      <w:r w:rsidR="006208D0">
        <w:t>−</w:t>
      </w:r>
      <w:r w:rsidRPr="00756E45">
        <w:t>3 лет.</w:t>
      </w:r>
    </w:p>
    <w:p w:rsidR="004D7374" w:rsidRPr="00E36DFA" w:rsidRDefault="004D7374">
      <w:pPr>
        <w:pStyle w:val="1"/>
        <w:spacing w:before="0" w:after="0"/>
      </w:pPr>
      <w:bookmarkStart w:id="15" w:name="_Toc24826807"/>
      <w:r w:rsidRPr="00E36DFA">
        <w:lastRenderedPageBreak/>
        <w:t>2. Диагностика</w:t>
      </w:r>
      <w:bookmarkEnd w:id="13"/>
      <w:r w:rsidR="00131E36" w:rsidRPr="00E36DFA">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15"/>
    </w:p>
    <w:p w:rsidR="00131E36" w:rsidRPr="00E36DFA" w:rsidRDefault="00131E36" w:rsidP="00131E36">
      <w:pPr>
        <w:rPr>
          <w:b/>
          <w:i/>
        </w:rPr>
      </w:pPr>
      <w:r w:rsidRPr="00E36DFA">
        <w:rPr>
          <w:b/>
          <w:i/>
        </w:rPr>
        <w:t>Критерии установления диагноза/состояния:</w:t>
      </w:r>
    </w:p>
    <w:p w:rsidR="00131E36" w:rsidRPr="00E36DFA" w:rsidRDefault="00131E36" w:rsidP="00131E36">
      <w:pPr>
        <w:spacing w:before="0" w:after="0"/>
        <w:ind w:firstLine="709"/>
        <w:contextualSpacing/>
        <w:rPr>
          <w:i/>
        </w:rPr>
      </w:pPr>
      <w:r w:rsidRPr="00E36DFA">
        <w:rPr>
          <w:i/>
        </w:rPr>
        <w:t>Тлеющая (асимптоматическая) ММ должна удовлетворять двум критериям:</w:t>
      </w:r>
    </w:p>
    <w:p w:rsidR="00131E36" w:rsidRPr="00E36DFA" w:rsidRDefault="00131E36" w:rsidP="002F2D5C">
      <w:pPr>
        <w:pStyle w:val="a5"/>
        <w:numPr>
          <w:ilvl w:val="0"/>
          <w:numId w:val="58"/>
        </w:numPr>
        <w:spacing w:before="0" w:after="0"/>
        <w:rPr>
          <w:i/>
        </w:rPr>
      </w:pPr>
      <w:r w:rsidRPr="00E36DFA">
        <w:rPr>
          <w:i/>
        </w:rPr>
        <w:t>Моноклональный протеин в сыворотке крови ≥30 г/л и/или 500 мг в суточном анализе мочи и/или 10</w:t>
      </w:r>
      <w:r w:rsidR="006208D0" w:rsidRPr="00E36DFA">
        <w:rPr>
          <w:i/>
        </w:rPr>
        <w:t>−</w:t>
      </w:r>
      <w:r w:rsidRPr="00E36DFA">
        <w:rPr>
          <w:i/>
        </w:rPr>
        <w:t>59</w:t>
      </w:r>
      <w:r w:rsidR="006208D0" w:rsidRPr="00E36DFA">
        <w:rPr>
          <w:i/>
        </w:rPr>
        <w:t> </w:t>
      </w:r>
      <w:r w:rsidRPr="00E36DFA">
        <w:rPr>
          <w:i/>
        </w:rPr>
        <w:t xml:space="preserve">% клональных </w:t>
      </w:r>
      <w:r w:rsidR="006208D0" w:rsidRPr="00E36DFA">
        <w:rPr>
          <w:i/>
        </w:rPr>
        <w:t>ПК</w:t>
      </w:r>
      <w:r w:rsidRPr="00E36DFA">
        <w:rPr>
          <w:i/>
        </w:rPr>
        <w:t xml:space="preserve"> в костном мозге</w:t>
      </w:r>
      <w:r w:rsidR="006208D0" w:rsidRPr="00E36DFA">
        <w:rPr>
          <w:i/>
        </w:rPr>
        <w:t>.</w:t>
      </w:r>
      <w:r w:rsidRPr="00E36DFA">
        <w:rPr>
          <w:i/>
        </w:rPr>
        <w:t xml:space="preserve"> </w:t>
      </w:r>
    </w:p>
    <w:p w:rsidR="00131E36" w:rsidRPr="00E36DFA" w:rsidRDefault="00131E36" w:rsidP="002F2D5C">
      <w:pPr>
        <w:pStyle w:val="a5"/>
        <w:numPr>
          <w:ilvl w:val="0"/>
          <w:numId w:val="58"/>
        </w:numPr>
        <w:spacing w:before="0" w:after="0"/>
        <w:rPr>
          <w:i/>
          <w:u w:val="single"/>
        </w:rPr>
      </w:pPr>
      <w:r w:rsidRPr="00E36DFA">
        <w:rPr>
          <w:i/>
        </w:rPr>
        <w:t>Отсутствие органных повреждений (</w:t>
      </w:r>
      <w:r w:rsidRPr="00E36DFA">
        <w:rPr>
          <w:i/>
          <w:lang w:val="en-US"/>
        </w:rPr>
        <w:t>CRAB</w:t>
      </w:r>
      <w:r w:rsidR="0050601C" w:rsidRPr="00E36DFA">
        <w:rPr>
          <w:i/>
        </w:rPr>
        <w:t xml:space="preserve"> </w:t>
      </w:r>
      <w:r w:rsidRPr="00E36DFA">
        <w:rPr>
          <w:i/>
        </w:rPr>
        <w:t xml:space="preserve">– см. симптоматическую ММ), в том числе отсутствие признаков поражения костей (что подтверждено данными </w:t>
      </w:r>
      <w:r w:rsidR="0050601C" w:rsidRPr="00E36DFA">
        <w:rPr>
          <w:i/>
        </w:rPr>
        <w:t>магнитно-резонансной томографии</w:t>
      </w:r>
      <w:r w:rsidRPr="00E36DFA">
        <w:rPr>
          <w:i/>
        </w:rPr>
        <w:t xml:space="preserve"> или </w:t>
      </w:r>
      <w:r w:rsidR="0050601C" w:rsidRPr="00E36DFA">
        <w:rPr>
          <w:i/>
        </w:rPr>
        <w:t>позитронно-эмиссионной/компьютерной томографии (</w:t>
      </w:r>
      <w:r w:rsidRPr="00E36DFA">
        <w:rPr>
          <w:i/>
        </w:rPr>
        <w:t>ПЭТ/КТ</w:t>
      </w:r>
      <w:r w:rsidR="0050601C" w:rsidRPr="00E36DFA">
        <w:rPr>
          <w:i/>
        </w:rPr>
        <w:t>)</w:t>
      </w:r>
      <w:r w:rsidR="00110202" w:rsidRPr="00E36DFA">
        <w:rPr>
          <w:i/>
        </w:rPr>
        <w:t>,</w:t>
      </w:r>
      <w:r w:rsidRPr="00E36DFA">
        <w:rPr>
          <w:i/>
        </w:rPr>
        <w:t xml:space="preserve"> или </w:t>
      </w:r>
      <w:r w:rsidR="00382B70" w:rsidRPr="00E36DFA">
        <w:rPr>
          <w:i/>
        </w:rPr>
        <w:t>спиральной компьюте</w:t>
      </w:r>
      <w:r w:rsidR="00110202" w:rsidRPr="00E36DFA">
        <w:rPr>
          <w:i/>
        </w:rPr>
        <w:t>р</w:t>
      </w:r>
      <w:r w:rsidR="00382B70" w:rsidRPr="00E36DFA">
        <w:rPr>
          <w:i/>
        </w:rPr>
        <w:t>ной томографии</w:t>
      </w:r>
      <w:r w:rsidR="00E62084" w:rsidRPr="00E36DFA">
        <w:rPr>
          <w:i/>
        </w:rPr>
        <w:t xml:space="preserve"> костей в низко</w:t>
      </w:r>
      <w:r w:rsidRPr="00E36DFA">
        <w:rPr>
          <w:i/>
        </w:rPr>
        <w:t>дозовом режиме) и</w:t>
      </w:r>
      <w:r w:rsidR="00110202" w:rsidRPr="00E36DFA">
        <w:rPr>
          <w:i/>
        </w:rPr>
        <w:t xml:space="preserve"> </w:t>
      </w:r>
      <w:r w:rsidRPr="00E36DFA">
        <w:rPr>
          <w:i/>
        </w:rPr>
        <w:t>отсутствие амилоидоза.</w:t>
      </w:r>
    </w:p>
    <w:p w:rsidR="00131E36" w:rsidRPr="00E36DFA" w:rsidRDefault="00131E36" w:rsidP="00131E36">
      <w:pPr>
        <w:spacing w:before="0" w:after="0"/>
        <w:ind w:firstLine="709"/>
        <w:rPr>
          <w:i/>
        </w:rPr>
      </w:pPr>
      <w:r w:rsidRPr="00E36DFA">
        <w:rPr>
          <w:i/>
        </w:rPr>
        <w:t>Симптоматическая ММ должна удовлетворять трем критериям:</w:t>
      </w:r>
    </w:p>
    <w:p w:rsidR="00131E36" w:rsidRPr="00E36DFA" w:rsidRDefault="00131E36" w:rsidP="002F2D5C">
      <w:pPr>
        <w:pStyle w:val="a5"/>
        <w:numPr>
          <w:ilvl w:val="0"/>
          <w:numId w:val="59"/>
        </w:numPr>
        <w:spacing w:before="0" w:after="0"/>
        <w:rPr>
          <w:i/>
        </w:rPr>
      </w:pPr>
      <w:r w:rsidRPr="00E36DFA">
        <w:rPr>
          <w:i/>
        </w:rPr>
        <w:t>Присутствие в костном мозге ≥10</w:t>
      </w:r>
      <w:r w:rsidR="00110202" w:rsidRPr="00E36DFA">
        <w:rPr>
          <w:i/>
        </w:rPr>
        <w:t> </w:t>
      </w:r>
      <w:r w:rsidRPr="00E36DFA">
        <w:rPr>
          <w:i/>
        </w:rPr>
        <w:t xml:space="preserve">% клональных </w:t>
      </w:r>
      <w:r w:rsidR="00110202" w:rsidRPr="00E36DFA">
        <w:rPr>
          <w:i/>
        </w:rPr>
        <w:t>ПК</w:t>
      </w:r>
      <w:r w:rsidRPr="00E36DFA">
        <w:rPr>
          <w:i/>
        </w:rPr>
        <w:t xml:space="preserve"> или наличие подтвержденной биопсией костной/экстрамедуллярной плазмоцитомы и </w:t>
      </w:r>
      <w:r w:rsidR="00D24853" w:rsidRPr="00E36DFA">
        <w:rPr>
          <w:i/>
        </w:rPr>
        <w:t>1</w:t>
      </w:r>
      <w:r w:rsidRPr="00E36DFA">
        <w:rPr>
          <w:i/>
        </w:rPr>
        <w:t xml:space="preserve"> или несколько обозначенных ниже симптомов, обусловленных ММ: </w:t>
      </w:r>
    </w:p>
    <w:p w:rsidR="00D24853" w:rsidRPr="00E36DFA" w:rsidRDefault="00D24853" w:rsidP="00D24853">
      <w:pPr>
        <w:pStyle w:val="a5"/>
        <w:spacing w:before="0" w:after="0"/>
        <w:ind w:left="2149"/>
        <w:rPr>
          <w:i/>
        </w:rPr>
      </w:pPr>
      <w:r w:rsidRPr="00E36DFA">
        <w:rPr>
          <w:i/>
        </w:rPr>
        <w:t>а) г</w:t>
      </w:r>
      <w:r w:rsidR="00131E36" w:rsidRPr="00E36DFA">
        <w:rPr>
          <w:i/>
        </w:rPr>
        <w:t>иперкальциемия: уровень кальция в сыворотке крови &gt;11,5 мг/дл (&gt;2,75 ммоль/л)</w:t>
      </w:r>
      <w:r w:rsidRPr="00E36DFA">
        <w:rPr>
          <w:i/>
        </w:rPr>
        <w:t>;</w:t>
      </w:r>
    </w:p>
    <w:p w:rsidR="00131E36" w:rsidRPr="00E36DFA" w:rsidRDefault="00D24853" w:rsidP="00D24853">
      <w:pPr>
        <w:pStyle w:val="a5"/>
        <w:spacing w:before="0" w:after="0"/>
        <w:ind w:left="2149"/>
        <w:rPr>
          <w:i/>
        </w:rPr>
      </w:pPr>
      <w:r w:rsidRPr="00E36DFA">
        <w:rPr>
          <w:i/>
        </w:rPr>
        <w:t>б) д</w:t>
      </w:r>
      <w:r w:rsidR="00131E36" w:rsidRPr="00E36DFA">
        <w:rPr>
          <w:i/>
        </w:rPr>
        <w:t xml:space="preserve">исфункция почек: уровень креатинина в сыворотке крови &gt;2 мг/дл (&gt;173 ммоль/л), клиренс креатинина </w:t>
      </w:r>
      <w:r w:rsidRPr="00E36DFA">
        <w:rPr>
          <w:i/>
        </w:rPr>
        <w:t>&lt;</w:t>
      </w:r>
      <w:r w:rsidR="00131E36" w:rsidRPr="00E36DFA">
        <w:rPr>
          <w:i/>
        </w:rPr>
        <w:t>40 мл/мин</w:t>
      </w:r>
      <w:r w:rsidRPr="00E36DFA">
        <w:rPr>
          <w:i/>
        </w:rPr>
        <w:t>;</w:t>
      </w:r>
    </w:p>
    <w:p w:rsidR="00131E36" w:rsidRPr="00E36DFA" w:rsidRDefault="00D24853" w:rsidP="00D24853">
      <w:pPr>
        <w:pStyle w:val="a5"/>
        <w:spacing w:before="0" w:after="0"/>
        <w:ind w:left="2149"/>
        <w:rPr>
          <w:i/>
        </w:rPr>
      </w:pPr>
      <w:r w:rsidRPr="00E36DFA">
        <w:rPr>
          <w:i/>
        </w:rPr>
        <w:t>в) а</w:t>
      </w:r>
      <w:r w:rsidR="00131E36" w:rsidRPr="00E36DFA">
        <w:rPr>
          <w:i/>
        </w:rPr>
        <w:t xml:space="preserve">немия: нормохромная нормоцитарная, </w:t>
      </w:r>
      <w:r w:rsidRPr="00E36DFA">
        <w:rPr>
          <w:i/>
        </w:rPr>
        <w:t xml:space="preserve">уровень </w:t>
      </w:r>
      <w:r w:rsidR="00131E36" w:rsidRPr="00E36DFA">
        <w:rPr>
          <w:i/>
        </w:rPr>
        <w:t>гемоглобин</w:t>
      </w:r>
      <w:r w:rsidRPr="00E36DFA">
        <w:rPr>
          <w:i/>
        </w:rPr>
        <w:t>а</w:t>
      </w:r>
      <w:r w:rsidR="00131E36" w:rsidRPr="00E36DFA">
        <w:rPr>
          <w:i/>
        </w:rPr>
        <w:t xml:space="preserve"> на 2 г/дл (20 г/л) меньше нижней границы нормы или &lt; 10 г/дл (&lt;100 г/л)</w:t>
      </w:r>
      <w:r w:rsidR="003B0311" w:rsidRPr="00E36DFA">
        <w:rPr>
          <w:i/>
        </w:rPr>
        <w:t>;</w:t>
      </w:r>
    </w:p>
    <w:p w:rsidR="00131E36" w:rsidRPr="00E36DFA" w:rsidRDefault="003B0311" w:rsidP="003B0311">
      <w:pPr>
        <w:pStyle w:val="a5"/>
        <w:spacing w:before="0" w:after="0"/>
        <w:ind w:left="2149"/>
        <w:rPr>
          <w:i/>
        </w:rPr>
      </w:pPr>
      <w:r w:rsidRPr="00E36DFA">
        <w:rPr>
          <w:i/>
        </w:rPr>
        <w:t>г) 1</w:t>
      </w:r>
      <w:r w:rsidR="00131E36" w:rsidRPr="00E36DFA">
        <w:rPr>
          <w:i/>
        </w:rPr>
        <w:t xml:space="preserve"> или более остеолитических очагов, в том числе подтвержд</w:t>
      </w:r>
      <w:r w:rsidRPr="00E36DFA">
        <w:rPr>
          <w:i/>
        </w:rPr>
        <w:t>е</w:t>
      </w:r>
      <w:r w:rsidR="00131E36" w:rsidRPr="00E36DFA">
        <w:rPr>
          <w:i/>
        </w:rPr>
        <w:t xml:space="preserve">нных данными рентгенографии костей, </w:t>
      </w:r>
      <w:r w:rsidRPr="00E36DFA">
        <w:rPr>
          <w:i/>
        </w:rPr>
        <w:t>спиральной компьютерной томографии</w:t>
      </w:r>
      <w:r w:rsidR="00131E36" w:rsidRPr="00E36DFA">
        <w:rPr>
          <w:i/>
        </w:rPr>
        <w:t xml:space="preserve"> или ПЭТ/КТ</w:t>
      </w:r>
      <w:r w:rsidRPr="00E36DFA">
        <w:rPr>
          <w:i/>
        </w:rPr>
        <w:t>;</w:t>
      </w:r>
      <w:r w:rsidR="00131E36" w:rsidRPr="00E36DFA">
        <w:rPr>
          <w:i/>
        </w:rPr>
        <w:t xml:space="preserve"> </w:t>
      </w:r>
    </w:p>
    <w:p w:rsidR="00131E36" w:rsidRPr="00E36DFA" w:rsidRDefault="003B0311" w:rsidP="003B0311">
      <w:pPr>
        <w:pStyle w:val="a5"/>
        <w:spacing w:before="0" w:after="0"/>
        <w:ind w:left="2149"/>
        <w:rPr>
          <w:i/>
        </w:rPr>
      </w:pPr>
      <w:r w:rsidRPr="00E36DFA">
        <w:rPr>
          <w:i/>
        </w:rPr>
        <w:t>д) к</w:t>
      </w:r>
      <w:r w:rsidR="00131E36" w:rsidRPr="00E36DFA">
        <w:rPr>
          <w:i/>
        </w:rPr>
        <w:t xml:space="preserve">оличество клональных плазмоцитов в костном мозге </w:t>
      </w:r>
      <w:r w:rsidRPr="00E36DFA">
        <w:rPr>
          <w:i/>
        </w:rPr>
        <w:t>&gt;</w:t>
      </w:r>
      <w:r w:rsidR="00131E36" w:rsidRPr="00E36DFA">
        <w:rPr>
          <w:i/>
        </w:rPr>
        <w:t>60</w:t>
      </w:r>
      <w:r w:rsidRPr="00E36DFA">
        <w:rPr>
          <w:i/>
        </w:rPr>
        <w:t> </w:t>
      </w:r>
      <w:r w:rsidR="00131E36" w:rsidRPr="00E36DFA">
        <w:rPr>
          <w:i/>
        </w:rPr>
        <w:t>%</w:t>
      </w:r>
      <w:r w:rsidRPr="00E36DFA">
        <w:rPr>
          <w:i/>
        </w:rPr>
        <w:t>;</w:t>
      </w:r>
    </w:p>
    <w:p w:rsidR="00131E36" w:rsidRPr="00E36DFA" w:rsidRDefault="003B0311" w:rsidP="003B0311">
      <w:pPr>
        <w:pStyle w:val="a5"/>
        <w:spacing w:before="0" w:after="0"/>
        <w:ind w:left="2149"/>
        <w:rPr>
          <w:i/>
        </w:rPr>
      </w:pPr>
      <w:r w:rsidRPr="00E36DFA">
        <w:rPr>
          <w:i/>
        </w:rPr>
        <w:t>е) н</w:t>
      </w:r>
      <w:r w:rsidR="00131E36" w:rsidRPr="00E36DFA">
        <w:rPr>
          <w:i/>
        </w:rPr>
        <w:t xml:space="preserve">енормальное соотношение </w:t>
      </w:r>
      <w:r w:rsidR="004F0B51" w:rsidRPr="00E36DFA">
        <w:rPr>
          <w:i/>
        </w:rPr>
        <w:t>свободных легких цепей (</w:t>
      </w:r>
      <w:r w:rsidR="00131E36" w:rsidRPr="00E36DFA">
        <w:rPr>
          <w:i/>
        </w:rPr>
        <w:t>СЛЦ</w:t>
      </w:r>
      <w:r w:rsidR="004F0B51" w:rsidRPr="00E36DFA">
        <w:rPr>
          <w:i/>
        </w:rPr>
        <w:t>)</w:t>
      </w:r>
      <w:r w:rsidR="00131E36" w:rsidRPr="00E36DFA">
        <w:rPr>
          <w:i/>
        </w:rPr>
        <w:t>: ≥100 или ≤0,01</w:t>
      </w:r>
      <w:r w:rsidR="00785610" w:rsidRPr="00E36DFA">
        <w:rPr>
          <w:i/>
        </w:rPr>
        <w:t>;</w:t>
      </w:r>
    </w:p>
    <w:p w:rsidR="00131E36" w:rsidRPr="00E36DFA" w:rsidRDefault="009A649F" w:rsidP="00785610">
      <w:pPr>
        <w:pStyle w:val="a5"/>
        <w:spacing w:before="0" w:after="0"/>
        <w:ind w:left="2149"/>
        <w:rPr>
          <w:i/>
        </w:rPr>
      </w:pPr>
      <w:r w:rsidRPr="00E36DFA">
        <w:rPr>
          <w:i/>
        </w:rPr>
        <w:t>ж</w:t>
      </w:r>
      <w:r w:rsidR="00785610" w:rsidRPr="00E36DFA">
        <w:rPr>
          <w:i/>
        </w:rPr>
        <w:t>) б</w:t>
      </w:r>
      <w:r w:rsidR="00131E36" w:rsidRPr="00E36DFA">
        <w:rPr>
          <w:i/>
        </w:rPr>
        <w:t xml:space="preserve">олее </w:t>
      </w:r>
      <w:r w:rsidR="00785610" w:rsidRPr="00E36DFA">
        <w:rPr>
          <w:i/>
        </w:rPr>
        <w:t>1</w:t>
      </w:r>
      <w:r w:rsidR="00131E36" w:rsidRPr="00E36DFA">
        <w:rPr>
          <w:i/>
        </w:rPr>
        <w:t xml:space="preserve"> очага поражения  костного мозга, выявленного при </w:t>
      </w:r>
      <w:r w:rsidR="00785610" w:rsidRPr="00E36DFA">
        <w:rPr>
          <w:i/>
        </w:rPr>
        <w:t>магнитно-резонансной томографии</w:t>
      </w:r>
      <w:r w:rsidR="00131E36" w:rsidRPr="00E36DFA">
        <w:rPr>
          <w:i/>
        </w:rPr>
        <w:t xml:space="preserve"> костей</w:t>
      </w:r>
      <w:r w:rsidR="00785610" w:rsidRPr="00E36DFA">
        <w:rPr>
          <w:i/>
        </w:rPr>
        <w:t>.</w:t>
      </w:r>
    </w:p>
    <w:p w:rsidR="00131E36" w:rsidRPr="00E36DFA" w:rsidRDefault="00131E36" w:rsidP="002F2D5C">
      <w:pPr>
        <w:pStyle w:val="a5"/>
        <w:numPr>
          <w:ilvl w:val="0"/>
          <w:numId w:val="59"/>
        </w:numPr>
        <w:spacing w:before="0" w:after="0"/>
        <w:rPr>
          <w:i/>
        </w:rPr>
      </w:pPr>
      <w:r w:rsidRPr="00E36DFA">
        <w:rPr>
          <w:i/>
        </w:rPr>
        <w:lastRenderedPageBreak/>
        <w:t>Другие симптомы: гипервязкость, амилоидоз, частые бактериальные инфекции (&gt;2 эпизодов в течение 12 мес)</w:t>
      </w:r>
      <w:r w:rsidR="006B0B30" w:rsidRPr="00E36DFA">
        <w:rPr>
          <w:i/>
        </w:rPr>
        <w:t>.</w:t>
      </w:r>
    </w:p>
    <w:p w:rsidR="00131E36" w:rsidRPr="00E36DFA" w:rsidRDefault="00131E36" w:rsidP="00131E36">
      <w:pPr>
        <w:spacing w:before="0" w:after="0"/>
        <w:ind w:firstLine="709"/>
        <w:rPr>
          <w:i/>
        </w:rPr>
      </w:pPr>
      <w:r w:rsidRPr="00E36DFA">
        <w:rPr>
          <w:i/>
        </w:rPr>
        <w:t xml:space="preserve">Для несекретирующей миеломы характерно выявление в пунктате костного мозга </w:t>
      </w:r>
      <w:r w:rsidR="006B0B30" w:rsidRPr="00E36DFA">
        <w:rPr>
          <w:i/>
        </w:rPr>
        <w:t>≥</w:t>
      </w:r>
      <w:r w:rsidRPr="00E36DFA">
        <w:rPr>
          <w:i/>
        </w:rPr>
        <w:t>10</w:t>
      </w:r>
      <w:r w:rsidR="006B0B30" w:rsidRPr="00E36DFA">
        <w:rPr>
          <w:i/>
        </w:rPr>
        <w:t> </w:t>
      </w:r>
      <w:r w:rsidRPr="00E36DFA">
        <w:rPr>
          <w:i/>
        </w:rPr>
        <w:t xml:space="preserve">% </w:t>
      </w:r>
      <w:r w:rsidR="006B0B30" w:rsidRPr="00E36DFA">
        <w:rPr>
          <w:i/>
        </w:rPr>
        <w:t>ПК</w:t>
      </w:r>
      <w:r w:rsidR="00C57432" w:rsidRPr="00E36DFA">
        <w:rPr>
          <w:i/>
        </w:rPr>
        <w:t xml:space="preserve">, а также </w:t>
      </w:r>
      <w:r w:rsidRPr="00E36DFA">
        <w:rPr>
          <w:i/>
        </w:rPr>
        <w:t>признак</w:t>
      </w:r>
      <w:r w:rsidR="00C57432" w:rsidRPr="00E36DFA">
        <w:rPr>
          <w:i/>
        </w:rPr>
        <w:t>ов</w:t>
      </w:r>
      <w:r w:rsidRPr="00E36DFA">
        <w:rPr>
          <w:i/>
        </w:rPr>
        <w:t xml:space="preserve"> </w:t>
      </w:r>
      <w:r w:rsidRPr="00E36DFA">
        <w:rPr>
          <w:i/>
          <w:lang w:val="en-US"/>
        </w:rPr>
        <w:t>CRAB</w:t>
      </w:r>
      <w:r w:rsidRPr="00E36DFA">
        <w:rPr>
          <w:i/>
        </w:rPr>
        <w:t xml:space="preserve">-синдрома. Моноклонального протеина нет ни в сыворотке крови, ни в моче, что подтверждают результаты иммунофиксации. Увеличение </w:t>
      </w:r>
      <w:r w:rsidR="00C57432" w:rsidRPr="00E36DFA">
        <w:rPr>
          <w:i/>
        </w:rPr>
        <w:t>СЛЦ</w:t>
      </w:r>
      <w:r w:rsidRPr="00E36DFA">
        <w:rPr>
          <w:i/>
        </w:rPr>
        <w:t xml:space="preserve"> отмечается у 2/3 пациентов с несекретирующей ММ.</w:t>
      </w:r>
    </w:p>
    <w:p w:rsidR="004D7374" w:rsidRPr="00971A8A" w:rsidRDefault="004D7374" w:rsidP="00E36DFA">
      <w:pPr>
        <w:pStyle w:val="2"/>
      </w:pPr>
      <w:bookmarkStart w:id="16" w:name="_Toc24826808"/>
      <w:r w:rsidRPr="00971A8A">
        <w:t>2.1 Жалобы и анамнез</w:t>
      </w:r>
      <w:bookmarkEnd w:id="16"/>
    </w:p>
    <w:p w:rsidR="004D7374" w:rsidRDefault="004D7374" w:rsidP="00131E36">
      <w:pPr>
        <w:pStyle w:val="a5"/>
        <w:numPr>
          <w:ilvl w:val="0"/>
          <w:numId w:val="1"/>
        </w:numPr>
        <w:spacing w:before="0" w:after="0"/>
        <w:ind w:left="709"/>
      </w:pPr>
      <w:r>
        <w:t xml:space="preserve">У всех пациентов с подозрением на </w:t>
      </w:r>
      <w:r w:rsidR="00E80729">
        <w:t>ММ</w:t>
      </w:r>
      <w:r>
        <w:t xml:space="preserve"> или выявленн</w:t>
      </w:r>
      <w:r w:rsidR="00E80729">
        <w:t xml:space="preserve">ой ММ </w:t>
      </w:r>
      <w:r>
        <w:t xml:space="preserve">при первичном приеме </w:t>
      </w:r>
      <w:r w:rsidRPr="00AE2EE4">
        <w:rPr>
          <w:b/>
        </w:rPr>
        <w:t>рекомендуется</w:t>
      </w:r>
      <w:r>
        <w:t xml:space="preserve"> тщательный сбор</w:t>
      </w:r>
      <w:r w:rsidR="00BE70BE">
        <w:t xml:space="preserve"> </w:t>
      </w:r>
      <w:r w:rsidR="00221203">
        <w:t>жалоб и анамнеза при заболеваниях органов кроветворения и крови</w:t>
      </w:r>
      <w:r w:rsidR="00680CFC">
        <w:t xml:space="preserve"> для верификации диагноза</w:t>
      </w:r>
      <w:r w:rsidR="00131E36">
        <w:t xml:space="preserve">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миелома","type":"chapter"},"uris":["http://www.mendeley.com/documents/?uuid=74f72d23-d025-4daa-a02d-40d14fc77cc4"]},{"id":"ITEM-2","itemData":{"DOI":"10.1038/leu.2008.291","ISSN":"1476-5551","PMID":"18971951","abstract":"New systems have emerged for diagnosis, staging and response assessment in multiple myeloma (MM). The diagnostic and response criteria recommended are primarily derived from the International Myeloma Working Group, with certain updates and clarifications. The International Staging System is the current standard for staging of myeloma. A new risk stratification model is provided to specifically define high-risk patients who may benefit from novel therapeutic strategies. This paper provides the current criteria for diagnosis, staging, risk stratification and response assessment of MM.","author":[{"dropping-particle":"","family":"Kyle","given":"R A","non-dropping-particle":"","parse-names":false,"suffix":""},{"dropping-particle":"V","family":"Rajkumar","given":"S","non-dropping-particle":"","parse-names":false,"suffix":""}],"container-title":"Leukemia","id":"ITEM-2","issue":"1","issued":{"date-parts":[["2009","1"]]},"page":"3-9","title":"Criteria for diagnosis, staging, risk stratification and response assessment of multiple myeloma.","type":"article-journal","volume":"23"},"uris":["http://www.mendeley.com/documents/?uuid=7769f5b6-e5a5-3505-9c33-44322e77a602"]},{"id":"ITEM-3","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Oncology","id":"ITEM-3","issue":"suppl_4","issued":{"date-parts":[["2017","7","1"]]},"page":"iv52-iv61","title":"Multiple myeloma: ESMO Clinical Practice Guidelines for diagnosis, treatment and follow-up.","type":"article-journal","volume":"28"},"uris":["http://www.mendeley.com/documents/?uuid=e710540c-71bd-39f6-a6ad-aa95562089c3"]}],"mendeley":{"formattedCitation":"[1,14,15]","plainTextFormattedCitation":"[1,14,15]","previouslyFormattedCitation":"[1,14,15]"},"properties":{"noteIndex":0},"schema":"https://github.com/citation-style-language/schema/raw/master/csl-citation.json"}</w:instrText>
      </w:r>
      <w:r w:rsidR="00A96FB6">
        <w:fldChar w:fldCharType="separate"/>
      </w:r>
      <w:r w:rsidR="000D22CF" w:rsidRPr="000D22CF">
        <w:rPr>
          <w:noProof/>
        </w:rPr>
        <w:t>[1,14,15]</w:t>
      </w:r>
      <w:r w:rsidR="00A96FB6">
        <w:fldChar w:fldCharType="end"/>
      </w:r>
      <w:r w:rsidR="00E05D8E">
        <w:t>.</w:t>
      </w:r>
    </w:p>
    <w:p w:rsidR="004D7374" w:rsidRDefault="00E05D8E" w:rsidP="00131E36">
      <w:pPr>
        <w:spacing w:before="0" w:after="0"/>
        <w:ind w:left="709"/>
        <w:rPr>
          <w:b/>
        </w:rPr>
      </w:pPr>
      <w:r w:rsidRPr="0099679A">
        <w:rPr>
          <w:b/>
        </w:rPr>
        <w:t xml:space="preserve">Уровень убедительности рекомендаций </w:t>
      </w:r>
      <w:r w:rsidR="00FA247E">
        <w:rPr>
          <w:b/>
        </w:rPr>
        <w:t xml:space="preserve">− </w:t>
      </w:r>
      <w:r>
        <w:rPr>
          <w:b/>
        </w:rPr>
        <w:t>С</w:t>
      </w:r>
      <w:r w:rsidRPr="0099679A">
        <w:rPr>
          <w:b/>
        </w:rPr>
        <w:t xml:space="preserve"> (уровень достоверности доказательств </w:t>
      </w:r>
      <w:r w:rsidR="00FA247E">
        <w:rPr>
          <w:b/>
        </w:rPr>
        <w:t xml:space="preserve">− </w:t>
      </w:r>
      <w:r w:rsidRPr="00582778">
        <w:rPr>
          <w:b/>
        </w:rPr>
        <w:t>5</w:t>
      </w:r>
      <w:r w:rsidRPr="0099679A">
        <w:rPr>
          <w:b/>
        </w:rPr>
        <w:t>)</w:t>
      </w:r>
    </w:p>
    <w:p w:rsidR="004D7374" w:rsidRPr="00971A8A" w:rsidRDefault="004D7374" w:rsidP="00E36DFA">
      <w:pPr>
        <w:pStyle w:val="2"/>
      </w:pPr>
      <w:bookmarkStart w:id="17" w:name="_Toc24826809"/>
      <w:r w:rsidRPr="00971A8A">
        <w:t>2.2 Физикальное обследование</w:t>
      </w:r>
      <w:bookmarkEnd w:id="17"/>
    </w:p>
    <w:p w:rsidR="004D7374" w:rsidRPr="007839D3" w:rsidRDefault="004D7374" w:rsidP="00131E36">
      <w:pPr>
        <w:pStyle w:val="a5"/>
        <w:numPr>
          <w:ilvl w:val="0"/>
          <w:numId w:val="1"/>
        </w:numPr>
        <w:spacing w:before="0" w:after="0"/>
        <w:ind w:left="709" w:hanging="709"/>
      </w:pPr>
      <w:r>
        <w:t xml:space="preserve">У всех пациентов с подозрением на </w:t>
      </w:r>
      <w:r w:rsidR="00E80729">
        <w:t>ММ</w:t>
      </w:r>
      <w:r>
        <w:t xml:space="preserve"> или выявленн</w:t>
      </w:r>
      <w:r w:rsidR="00E80729">
        <w:t xml:space="preserve">ой ММ </w:t>
      </w:r>
      <w:r>
        <w:t xml:space="preserve">при первичном или повторном приеме, при контрольных обследованиях и при подозрении на рецидив заболевания </w:t>
      </w:r>
      <w:r w:rsidRPr="0047173E">
        <w:rPr>
          <w:b/>
        </w:rPr>
        <w:t>рекомендуется</w:t>
      </w:r>
      <w:r w:rsidR="00BE70BE">
        <w:rPr>
          <w:b/>
        </w:rPr>
        <w:t xml:space="preserve"> </w:t>
      </w:r>
      <w:r w:rsidR="00EB0D1B">
        <w:t>выполнение визуального осмотра терапевтического, пальпации терапевтической и</w:t>
      </w:r>
      <w:r w:rsidR="00141689">
        <w:t xml:space="preserve"> аускультации терапевтической, </w:t>
      </w:r>
      <w:r>
        <w:t xml:space="preserve">определение общего состояния по шкале ECOG, </w:t>
      </w:r>
      <w:r w:rsidRPr="00FC7F2E">
        <w:t xml:space="preserve">а также осмотр миндалин и полости рта для уточнения распространенности и тяжести течения </w:t>
      </w:r>
      <w:r w:rsidR="00582778" w:rsidRPr="0075099C">
        <w:t>заболевани</w:t>
      </w:r>
      <w:r w:rsidR="00E05D8E" w:rsidRPr="0075099C">
        <w:t>я</w:t>
      </w:r>
      <w:r w:rsidR="00131E36" w:rsidRPr="00131E36">
        <w:t xml:space="preserve">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миелома","type":"chapter"},"uris":["http://www.mendeley.com/documents/?uuid=74f72d23-d025-4daa-a02d-40d14fc77cc4"]},{"id":"ITEM-2","itemData":{"DOI":"10.1038/leu.2008.291","ISSN":"1476-5551","PMID":"18971951","abstract":"New systems have emerged for diagnosis, staging and response assessment in multiple myeloma (MM). The diagnostic and response criteria recommended are primarily derived from the International Myeloma Working Group, with certain updates and clarifications. The International Staging System is the current standard for staging of myeloma. A new risk stratification model is provided to specifically define high-risk patients who may benefit from novel therapeutic strategies. This paper provides the current criteria for diagnosis, staging, risk stratification and response assessment of MM.","author":[{"dropping-particle":"","family":"Kyle","given":"R A","non-dropping-particle":"","parse-names":false,"suffix":""},{"dropping-particle":"V","family":"Rajkumar","given":"S","non-dropping-particle":"","parse-names":false,"suffix":""}],"container-title":"Leukemia","id":"ITEM-2","issue":"1","issued":{"date-parts":[["2009","1"]]},"page":"3-9","title":"Criteria for diagnosis, staging, risk stratification and response assessment of multiple myeloma.","type":"article-journal","volume":"23"},"uris":["http://www.mendeley.com/documents/?uuid=7769f5b6-e5a5-3505-9c33-44322e77a602"]},{"id":"ITEM-3","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Oncology","id":"ITEM-3","issue":"suppl_4","issued":{"date-parts":[["2017","7","1"]]},"page":"iv52-iv61","title":"Multiple myeloma: ESMO Clinical Practice Guidelines for diagnosis, treatment and follow-up.","type":"article-journal","volume":"28"},"uris":["http://www.mendeley.com/documents/?uuid=e710540c-71bd-39f6-a6ad-aa95562089c3"]}],"mendeley":{"formattedCitation":"[1,14,15]","plainTextFormattedCitation":"[1,14,15]","previouslyFormattedCitation":"[1,14,15]"},"properties":{"noteIndex":0},"schema":"https://github.com/citation-style-language/schema/raw/master/csl-citation.json"}</w:instrText>
      </w:r>
      <w:r w:rsidR="00A96FB6">
        <w:fldChar w:fldCharType="separate"/>
      </w:r>
      <w:r w:rsidR="000D22CF" w:rsidRPr="000D22CF">
        <w:rPr>
          <w:noProof/>
        </w:rPr>
        <w:t>[1,14,15]</w:t>
      </w:r>
      <w:r w:rsidR="00A96FB6">
        <w:fldChar w:fldCharType="end"/>
      </w:r>
      <w:r w:rsidR="00E05D8E">
        <w:t>.</w:t>
      </w:r>
    </w:p>
    <w:p w:rsidR="001837F9" w:rsidRPr="000558B2" w:rsidRDefault="00E05D8E" w:rsidP="00131E36">
      <w:pPr>
        <w:spacing w:before="0" w:after="0"/>
        <w:ind w:left="709"/>
        <w:rPr>
          <w:b/>
        </w:rPr>
      </w:pPr>
      <w:r w:rsidRPr="0099679A">
        <w:rPr>
          <w:b/>
        </w:rPr>
        <w:t xml:space="preserve">Уровень убедительности рекомендаций </w:t>
      </w:r>
      <w:r w:rsidR="001837F9">
        <w:rPr>
          <w:b/>
        </w:rPr>
        <w:t xml:space="preserve">− </w:t>
      </w:r>
      <w:r>
        <w:rPr>
          <w:b/>
        </w:rPr>
        <w:t>С</w:t>
      </w:r>
      <w:r w:rsidRPr="0099679A">
        <w:rPr>
          <w:b/>
        </w:rPr>
        <w:t xml:space="preserve"> (уровень достоверности доказательств </w:t>
      </w:r>
      <w:r w:rsidR="001837F9">
        <w:rPr>
          <w:b/>
        </w:rPr>
        <w:t xml:space="preserve">− </w:t>
      </w:r>
      <w:r w:rsidRPr="00582778">
        <w:rPr>
          <w:b/>
        </w:rPr>
        <w:t>5</w:t>
      </w:r>
      <w:r w:rsidRPr="0099679A">
        <w:rPr>
          <w:b/>
        </w:rPr>
        <w:t>)</w:t>
      </w:r>
    </w:p>
    <w:p w:rsidR="00EB0D1B" w:rsidRDefault="00EB0D1B" w:rsidP="00131E36">
      <w:pPr>
        <w:spacing w:before="0" w:after="0"/>
        <w:ind w:left="709"/>
        <w:rPr>
          <w:i/>
        </w:rPr>
      </w:pPr>
      <w:r w:rsidRPr="00AE2EE4">
        <w:rPr>
          <w:b/>
        </w:rPr>
        <w:t>Комментари</w:t>
      </w:r>
      <w:r w:rsidR="001837F9">
        <w:rPr>
          <w:b/>
        </w:rPr>
        <w:t>й</w:t>
      </w:r>
      <w:r w:rsidRPr="00AE2EE4">
        <w:rPr>
          <w:b/>
        </w:rPr>
        <w:t>:</w:t>
      </w:r>
      <w:r w:rsidR="00FC7F2E">
        <w:rPr>
          <w:b/>
        </w:rPr>
        <w:t xml:space="preserve"> </w:t>
      </w:r>
      <w:r w:rsidR="00131E36">
        <w:rPr>
          <w:i/>
        </w:rPr>
        <w:t xml:space="preserve">при </w:t>
      </w:r>
      <w:r>
        <w:rPr>
          <w:i/>
        </w:rPr>
        <w:t xml:space="preserve">осмотре необходимо оценить общее состояние пациента по шкале </w:t>
      </w:r>
      <w:r>
        <w:rPr>
          <w:i/>
          <w:lang w:val="en-US"/>
        </w:rPr>
        <w:t>ECOG</w:t>
      </w:r>
      <w:r>
        <w:rPr>
          <w:i/>
        </w:rPr>
        <w:t xml:space="preserve"> (см. приложение Г1)</w:t>
      </w:r>
      <w:r w:rsidRPr="003147A2">
        <w:rPr>
          <w:i/>
        </w:rPr>
        <w:t xml:space="preserve">, </w:t>
      </w:r>
      <w:r>
        <w:rPr>
          <w:i/>
        </w:rPr>
        <w:t xml:space="preserve">а также осмотреть миндалины и полость рта; пальпация должна включать в себя </w:t>
      </w:r>
      <w:r w:rsidR="00FC7F2E">
        <w:rPr>
          <w:i/>
        </w:rPr>
        <w:t xml:space="preserve">пальпацию доступных групп </w:t>
      </w:r>
      <w:r>
        <w:rPr>
          <w:i/>
        </w:rPr>
        <w:t>периферических лимфатических узлов, печени, селезенки.</w:t>
      </w:r>
    </w:p>
    <w:p w:rsidR="0045054E" w:rsidRPr="00971A8A" w:rsidRDefault="00807232" w:rsidP="00E36DFA">
      <w:pPr>
        <w:pStyle w:val="2"/>
      </w:pPr>
      <w:bookmarkStart w:id="18" w:name="_Toc24826810"/>
      <w:r w:rsidRPr="00971A8A">
        <w:t xml:space="preserve">2.3 </w:t>
      </w:r>
      <w:r w:rsidR="004D7374" w:rsidRPr="00971A8A">
        <w:t>Лабораторн</w:t>
      </w:r>
      <w:r w:rsidR="00B255C9" w:rsidRPr="00971A8A">
        <w:t>ые диагностические исследования</w:t>
      </w:r>
      <w:bookmarkEnd w:id="18"/>
    </w:p>
    <w:p w:rsidR="00BE4440" w:rsidRDefault="00BE4440" w:rsidP="00BE4440">
      <w:pPr>
        <w:pStyle w:val="a5"/>
        <w:numPr>
          <w:ilvl w:val="0"/>
          <w:numId w:val="2"/>
        </w:numPr>
        <w:spacing w:before="0" w:after="0"/>
      </w:pPr>
      <w:r>
        <w:t xml:space="preserve">Всем пациентам с подозрением на ММ или выявленной ММ при первичном или повторном приеме, при контрольных обследованиях и при подозрении на рецидив заболевания </w:t>
      </w:r>
      <w:r w:rsidRPr="0047173E">
        <w:rPr>
          <w:b/>
        </w:rPr>
        <w:t>рекомендуется</w:t>
      </w:r>
      <w:r>
        <w:t xml:space="preserve"> для уточнения состояния пациента, выработки адекватной терапевтической тактики и/или (в случае ранее проведенной терапии) </w:t>
      </w:r>
      <w:r w:rsidR="00B66CBC">
        <w:t xml:space="preserve">при </w:t>
      </w:r>
      <w:r>
        <w:t>развити</w:t>
      </w:r>
      <w:r w:rsidR="00B66CBC">
        <w:t>и</w:t>
      </w:r>
      <w:r>
        <w:t xml:space="preserve"> нежелательных явлений лечения</w:t>
      </w:r>
      <w:r w:rsidRPr="00BE4440">
        <w:t xml:space="preserve"> </w:t>
      </w:r>
      <w:r>
        <w:t>выполнить следующие лабораторные исследования:</w:t>
      </w:r>
    </w:p>
    <w:p w:rsidR="00BE4440" w:rsidRDefault="00BE4440" w:rsidP="00BE4440">
      <w:pPr>
        <w:pStyle w:val="a5"/>
        <w:numPr>
          <w:ilvl w:val="2"/>
          <w:numId w:val="2"/>
        </w:numPr>
        <w:spacing w:before="0" w:after="0"/>
      </w:pPr>
      <w:r>
        <w:lastRenderedPageBreak/>
        <w:t>р</w:t>
      </w:r>
      <w:r w:rsidRPr="00EB0D1B">
        <w:t xml:space="preserve">азвернутый клинический анализ крови с определением </w:t>
      </w:r>
      <w:r w:rsidR="00B66CBC">
        <w:t xml:space="preserve">уровней </w:t>
      </w:r>
      <w:r w:rsidRPr="00EB0D1B">
        <w:t>гемоглобина, эритроцитов, тромбоцитов, лейкоцитов, подсчетом лейкоцитарной формулы и количества ретикулоцито</w:t>
      </w:r>
      <w:r>
        <w:t xml:space="preserve">в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fldChar w:fldCharType="separate"/>
      </w:r>
      <w:r w:rsidR="000D22CF" w:rsidRPr="000D22CF">
        <w:rPr>
          <w:noProof/>
        </w:rPr>
        <w:t>[1,15,16]</w:t>
      </w:r>
      <w:r w:rsidR="00A96FB6">
        <w:fldChar w:fldCharType="end"/>
      </w:r>
      <w:r>
        <w:t>;</w:t>
      </w:r>
    </w:p>
    <w:p w:rsidR="00BE4440" w:rsidRDefault="00BE4440" w:rsidP="00BE4440">
      <w:pPr>
        <w:pStyle w:val="a5"/>
        <w:numPr>
          <w:ilvl w:val="2"/>
          <w:numId w:val="2"/>
        </w:numPr>
        <w:spacing w:before="0" w:after="0"/>
      </w:pPr>
      <w:r>
        <w:t xml:space="preserve">общий (клинический) анализ мочи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fldChar w:fldCharType="separate"/>
      </w:r>
      <w:r w:rsidR="000D22CF" w:rsidRPr="000D22CF">
        <w:rPr>
          <w:noProof/>
        </w:rPr>
        <w:t>[1,15,16]</w:t>
      </w:r>
      <w:r w:rsidR="00A96FB6">
        <w:fldChar w:fldCharType="end"/>
      </w:r>
      <w:r w:rsidR="004F7ADD">
        <w:t>;</w:t>
      </w:r>
    </w:p>
    <w:p w:rsidR="00807232" w:rsidRDefault="00807232" w:rsidP="00BE4440">
      <w:pPr>
        <w:pStyle w:val="a5"/>
        <w:numPr>
          <w:ilvl w:val="2"/>
          <w:numId w:val="2"/>
        </w:numPr>
        <w:spacing w:before="0" w:after="0"/>
      </w:pPr>
      <w:r>
        <w:t xml:space="preserve">определение количества белка в суточной моче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fldChar w:fldCharType="separate"/>
      </w:r>
      <w:r w:rsidR="000D22CF" w:rsidRPr="000D22CF">
        <w:rPr>
          <w:noProof/>
        </w:rPr>
        <w:t>[1,15,16]</w:t>
      </w:r>
      <w:r w:rsidR="00A96FB6">
        <w:fldChar w:fldCharType="end"/>
      </w:r>
      <w:r>
        <w:t>;</w:t>
      </w:r>
    </w:p>
    <w:p w:rsidR="00BE4440" w:rsidRDefault="00BE4440" w:rsidP="00BE4440">
      <w:pPr>
        <w:pStyle w:val="a5"/>
        <w:numPr>
          <w:ilvl w:val="2"/>
          <w:numId w:val="2"/>
        </w:numPr>
        <w:spacing w:before="0" w:after="0"/>
      </w:pPr>
      <w:r>
        <w:t xml:space="preserve">биохимический анализ крови </w:t>
      </w:r>
      <w:r w:rsidRPr="00BE4440">
        <w:t>(общий белок, альбумин, ЛДГ, мочевина, кре</w:t>
      </w:r>
      <w:r>
        <w:t>а</w:t>
      </w:r>
      <w:r w:rsidRPr="00BE4440">
        <w:t xml:space="preserve">тинин, билирубин, </w:t>
      </w:r>
      <w:r w:rsidR="00B66CBC">
        <w:t>аспартатаминотрансфераза</w:t>
      </w:r>
      <w:r w:rsidRPr="00BE4440">
        <w:t xml:space="preserve">, </w:t>
      </w:r>
      <w:r w:rsidR="00903F68">
        <w:t>аланинаминотрансфераза</w:t>
      </w:r>
      <w:r w:rsidRPr="00BE4440">
        <w:t>, щелочная фосфатаза, кальций, калий)</w:t>
      </w:r>
      <w:r>
        <w:t xml:space="preserve">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fldChar w:fldCharType="separate"/>
      </w:r>
      <w:r w:rsidR="000D22CF" w:rsidRPr="000D22CF">
        <w:rPr>
          <w:noProof/>
        </w:rPr>
        <w:t>[1,15,16]</w:t>
      </w:r>
      <w:r w:rsidR="00A96FB6">
        <w:fldChar w:fldCharType="end"/>
      </w:r>
      <w:r w:rsidR="004F7ADD">
        <w:t>;</w:t>
      </w:r>
    </w:p>
    <w:p w:rsidR="00BE4440" w:rsidRDefault="00BE4440" w:rsidP="00903F68">
      <w:pPr>
        <w:pStyle w:val="a5"/>
        <w:numPr>
          <w:ilvl w:val="2"/>
          <w:numId w:val="2"/>
        </w:numPr>
        <w:spacing w:before="0" w:after="0"/>
      </w:pPr>
      <w:r w:rsidRPr="00A943DF">
        <w:t>коагулограмм</w:t>
      </w:r>
      <w:r w:rsidR="00903F68">
        <w:t>у</w:t>
      </w:r>
      <w:r w:rsidRPr="00A943DF">
        <w:t xml:space="preserve"> (ориентировочно</w:t>
      </w:r>
      <w:r>
        <w:t>е</w:t>
      </w:r>
      <w:r w:rsidRPr="00A943DF">
        <w:t xml:space="preserve"> исследовани</w:t>
      </w:r>
      <w:r>
        <w:t>е</w:t>
      </w:r>
      <w:r w:rsidRPr="00A943DF">
        <w:t xml:space="preserve"> системы гемостаза)</w:t>
      </w:r>
      <w:r>
        <w:t xml:space="preserve"> с включением следующих параметров: </w:t>
      </w:r>
      <w:r>
        <w:rPr>
          <w:i/>
        </w:rPr>
        <w:t xml:space="preserve">протромбин, </w:t>
      </w:r>
      <w:r w:rsidR="00903F68" w:rsidRPr="00903F68">
        <w:rPr>
          <w:i/>
        </w:rPr>
        <w:t>международное нормализованное отношение</w:t>
      </w:r>
      <w:r>
        <w:rPr>
          <w:i/>
        </w:rPr>
        <w:t xml:space="preserve">, </w:t>
      </w:r>
      <w:r w:rsidR="00903F68">
        <w:rPr>
          <w:i/>
        </w:rPr>
        <w:t>а</w:t>
      </w:r>
      <w:r w:rsidR="00903F68" w:rsidRPr="00903F68">
        <w:rPr>
          <w:i/>
        </w:rPr>
        <w:t>ктивированное частичное тромбопластиновое время</w:t>
      </w:r>
      <w:r>
        <w:rPr>
          <w:i/>
        </w:rPr>
        <w:t xml:space="preserve">, фибриноген, тромбиновое время, антитромбин </w:t>
      </w:r>
      <w:r>
        <w:rPr>
          <w:i/>
          <w:lang w:val="en-US"/>
        </w:rPr>
        <w:t>III</w:t>
      </w:r>
      <w:r>
        <w:rPr>
          <w:i/>
        </w:rPr>
        <w:t xml:space="preserve">, плазминоген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follow-up.","type":"article-journal","volume":"28"},"uris":["http://www.mendeley.com/documents/?uuid=e710540c-71bd-39f6-a6ad-aa95562089c3"]},{"id":"ITEM-3","itemData":{"DOI":"10.1055/s-0031-1297372","ISSN":"1098-9064","PMID":"22198858","abstract":"A variety of disease- and treatment-related factors affect the coagulation system and the risk of bleeding and thrombotic complications in patients with multiple myeloma (MM) and related plasma cell disorders (PCD). As commonly observed in other cancer settings, the malignant clone induces a cytokine environment responsible for a hypercoagulable state. The increase of blood viscosity and impairment of platelet and coagulation function due to circulating monoclonal proteins are considered key mechanisms in the hemostatic abnormalities frequently detected in patients with PCD. However, clinically significant bleeding is relatively rare and poorly correlated with these abnormalities. Management is often challenging because of the multifactorial pathogenesis and underestimation or misdiagnosis of acquired bleeding disorders, particularly acquired von Willebrand syndrome. In recent years, growing interest in thromboembolic risk has emerged after the introduction of novel and more effective antimyeloma agents (thalidomide and lenalidomide), which was associated with increased risk of venous thromboembolism, particularly when associated with dexamethasone and multiagent chemotherapy in newly diagnosed patients. The clinical impact of bleeding and thrombotic complications in patients with PCD, with emphasis on MM, will be discussed in this review, reporting the current knowledge about pathophysiologic mechanisms and implications for management.","author":[{"dropping-particle":"","family":"Coppola","given":"Antonio","non-dropping-particle":"","parse-names":false,"suffix":""},{"dropping-particle":"","family":"Tufano","given":"Antonella","non-dropping-particle":"","parse-names":false,"suffix":""},{"dropping-particle":"","family":"Capua","given":"Mirko","non-dropping-particle":"Di","parse-names":false,"suffix":""},{"dropping-particle":"","family":"Franchini","given":"Massimo","non-dropping-particle":"","parse-names":false,"suffix":""}],"container-title":"Seminars in thrombosis and hemostasis","id":"ITEM-3","issue":"8","issued":{"date-parts":[["2011","11"]]},"page":"929-45","title":"Bleeding and thrombosis in multiple myeloma and related plasma cell disorders.","type":"article-journal","volume":"37"},"uris":["http://www.mendeley.com/documents/?uuid=7eaf4086-3784-3f75-b1be-403b2976e310"]},{"id":"ITEM-4","itemData":{"DOI":"10.1016/S1470-2045(14)70442-5","ISSN":"14745488","abstract":"This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Oncology","id":"ITEM-4","issue":"12","issued":{"date-parts":[["2014","11","1"]]},"page":"e538-e548","publisher":"Lancet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17]","plainTextFormattedCitation":"[1,15–17]","previouslyFormattedCitation":"[1,15–17]"},"properties":{"noteIndex":0},"schema":"https://github.com/citation-style-language/schema/raw/master/csl-citation.json"}</w:instrText>
      </w:r>
      <w:r w:rsidR="00A96FB6">
        <w:fldChar w:fldCharType="separate"/>
      </w:r>
      <w:r w:rsidR="000D22CF" w:rsidRPr="000D22CF">
        <w:rPr>
          <w:noProof/>
        </w:rPr>
        <w:t>[1,15–17]</w:t>
      </w:r>
      <w:r w:rsidR="00A96FB6">
        <w:fldChar w:fldCharType="end"/>
      </w:r>
      <w:r w:rsidR="00807232">
        <w:t>.</w:t>
      </w:r>
    </w:p>
    <w:p w:rsidR="00BE4440" w:rsidRDefault="00BE4440" w:rsidP="00BE4440">
      <w:pPr>
        <w:spacing w:before="0" w:after="0"/>
        <w:ind w:left="709"/>
        <w:contextualSpacing/>
        <w:rPr>
          <w:b/>
        </w:rPr>
      </w:pPr>
      <w:r w:rsidRPr="0099679A">
        <w:rPr>
          <w:b/>
        </w:rPr>
        <w:t xml:space="preserve">Уровень убедительности рекомендаций </w:t>
      </w:r>
      <w:r w:rsidR="00536161">
        <w:rPr>
          <w:b/>
        </w:rPr>
        <w:t xml:space="preserve">− </w:t>
      </w:r>
      <w:r>
        <w:rPr>
          <w:b/>
        </w:rPr>
        <w:t>С</w:t>
      </w:r>
      <w:r w:rsidRPr="0099679A">
        <w:rPr>
          <w:b/>
        </w:rPr>
        <w:t xml:space="preserve"> (уровень достоверности доказательств </w:t>
      </w:r>
      <w:r w:rsidR="00536161">
        <w:rPr>
          <w:b/>
        </w:rPr>
        <w:t xml:space="preserve">− </w:t>
      </w:r>
      <w:r w:rsidRPr="00582778">
        <w:rPr>
          <w:b/>
        </w:rPr>
        <w:t>5</w:t>
      </w:r>
      <w:r w:rsidRPr="0099679A">
        <w:rPr>
          <w:b/>
        </w:rPr>
        <w:t>)</w:t>
      </w:r>
    </w:p>
    <w:p w:rsidR="00A943DF" w:rsidRDefault="00A943DF" w:rsidP="00131E36">
      <w:pPr>
        <w:pStyle w:val="a5"/>
        <w:numPr>
          <w:ilvl w:val="1"/>
          <w:numId w:val="2"/>
        </w:numPr>
        <w:spacing w:before="0" w:after="0"/>
        <w:ind w:left="709" w:hanging="709"/>
      </w:pPr>
      <w:r>
        <w:t xml:space="preserve">Всем пациентам с подозрением на ММ или выявленной ММ при первичном или повторном приеме, при контрольных обследованиях и при подозрении на рецидив заболевания </w:t>
      </w:r>
      <w:r w:rsidRPr="0047173E">
        <w:rPr>
          <w:b/>
        </w:rPr>
        <w:t>рекомендуется</w:t>
      </w:r>
      <w:r>
        <w:t xml:space="preserve"> определить</w:t>
      </w:r>
      <w:r w:rsidR="00C91E36">
        <w:t xml:space="preserve"> клиренс креатинина и</w:t>
      </w:r>
      <w:r>
        <w:t xml:space="preserve"> скорость клубочковой фильтрации расчетным методом по формулам СКD-EPI или MDRD для уточнения состояния </w:t>
      </w:r>
      <w:r w:rsidR="004124AD">
        <w:t>функции почек</w:t>
      </w:r>
      <w:r>
        <w:t xml:space="preserve"> и</w:t>
      </w:r>
      <w:r w:rsidR="004124AD">
        <w:t xml:space="preserve"> определения необходимости модификации терапии или доз препаратов при наличии почечной недостаточности</w:t>
      </w:r>
      <w:r w:rsidR="00F80ECB">
        <w:t xml:space="preserve"> и/или определения показаний к назначению гемодиализа</w:t>
      </w:r>
      <w:r>
        <w:t xml:space="preserve">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fldChar w:fldCharType="separate"/>
      </w:r>
      <w:r w:rsidR="000D22CF" w:rsidRPr="000D22CF">
        <w:rPr>
          <w:noProof/>
        </w:rPr>
        <w:t>[1,15,16]</w:t>
      </w:r>
      <w:r w:rsidR="00A96FB6">
        <w:fldChar w:fldCharType="end"/>
      </w:r>
      <w:r>
        <w:t>.</w:t>
      </w:r>
    </w:p>
    <w:p w:rsidR="00786F4D" w:rsidRPr="00786F4D" w:rsidRDefault="00786F4D" w:rsidP="00786F4D">
      <w:pPr>
        <w:pStyle w:val="a5"/>
        <w:spacing w:before="0" w:after="0"/>
        <w:ind w:left="705"/>
        <w:rPr>
          <w:b/>
        </w:rPr>
      </w:pPr>
      <w:r w:rsidRPr="00786F4D">
        <w:rPr>
          <w:b/>
        </w:rPr>
        <w:t xml:space="preserve">Уровень убедительности рекомендаций </w:t>
      </w:r>
      <w:r w:rsidR="00536161">
        <w:rPr>
          <w:b/>
        </w:rPr>
        <w:t xml:space="preserve">− </w:t>
      </w:r>
      <w:r w:rsidRPr="00786F4D">
        <w:rPr>
          <w:b/>
        </w:rPr>
        <w:t xml:space="preserve">С (уровень достоверности доказательств </w:t>
      </w:r>
      <w:r w:rsidR="00536161">
        <w:rPr>
          <w:b/>
        </w:rPr>
        <w:t xml:space="preserve">− </w:t>
      </w:r>
      <w:r w:rsidRPr="00786F4D">
        <w:rPr>
          <w:b/>
        </w:rPr>
        <w:t>5)</w:t>
      </w:r>
    </w:p>
    <w:p w:rsidR="00F80ECB" w:rsidRDefault="00F80ECB" w:rsidP="00131E36">
      <w:pPr>
        <w:pStyle w:val="a5"/>
        <w:spacing w:before="0" w:after="0"/>
        <w:ind w:left="709"/>
      </w:pPr>
      <w:r w:rsidRPr="00AE2EE4">
        <w:rPr>
          <w:b/>
        </w:rPr>
        <w:t>Комментари</w:t>
      </w:r>
      <w:r w:rsidR="00536161">
        <w:rPr>
          <w:b/>
        </w:rPr>
        <w:t>й</w:t>
      </w:r>
      <w:r w:rsidRPr="00AE2EE4">
        <w:rPr>
          <w:b/>
        </w:rPr>
        <w:t>:</w:t>
      </w:r>
      <w:r w:rsidR="00A25036">
        <w:rPr>
          <w:b/>
        </w:rPr>
        <w:t xml:space="preserve"> </w:t>
      </w:r>
      <w:r w:rsidR="00A25036">
        <w:rPr>
          <w:i/>
        </w:rPr>
        <w:t xml:space="preserve">рекомендации </w:t>
      </w:r>
      <w:r>
        <w:rPr>
          <w:i/>
        </w:rPr>
        <w:t>по коррекции дозы леналидомида</w:t>
      </w:r>
      <w:r w:rsidR="006E7B15" w:rsidRPr="006E7B15">
        <w:rPr>
          <w:i/>
        </w:rPr>
        <w:t>**</w:t>
      </w:r>
      <w:r>
        <w:rPr>
          <w:i/>
        </w:rPr>
        <w:t xml:space="preserve"> в зависимости от функции почек – см. приложение </w:t>
      </w:r>
      <w:r w:rsidR="00C812D6">
        <w:rPr>
          <w:i/>
        </w:rPr>
        <w:t>А3.2</w:t>
      </w:r>
      <w:r>
        <w:rPr>
          <w:i/>
        </w:rPr>
        <w:t>.</w:t>
      </w:r>
    </w:p>
    <w:p w:rsidR="00786F4D" w:rsidRDefault="00786F4D" w:rsidP="00131E36">
      <w:pPr>
        <w:pStyle w:val="a5"/>
        <w:numPr>
          <w:ilvl w:val="1"/>
          <w:numId w:val="2"/>
        </w:numPr>
        <w:spacing w:before="0" w:after="0"/>
        <w:ind w:left="709" w:hanging="709"/>
      </w:pPr>
      <w:r>
        <w:t xml:space="preserve">Всем пациентам с подозрением на ММ или выявленной ММ при первичном или повторном приеме, при контрольных обследованиях и при подозрении на рецидив заболевания </w:t>
      </w:r>
      <w:r w:rsidRPr="00A943DF">
        <w:rPr>
          <w:b/>
        </w:rPr>
        <w:t>рекомендуется</w:t>
      </w:r>
      <w:r>
        <w:t xml:space="preserve"> для уточнения активности основного заболевания или для оценки ответа на терапию выполнить следующие обследования:</w:t>
      </w:r>
    </w:p>
    <w:p w:rsidR="00786F4D" w:rsidRDefault="00786F4D" w:rsidP="00786F4D">
      <w:pPr>
        <w:pStyle w:val="a5"/>
        <w:numPr>
          <w:ilvl w:val="2"/>
          <w:numId w:val="2"/>
        </w:numPr>
        <w:spacing w:before="0" w:after="0"/>
      </w:pPr>
      <w:r>
        <w:t xml:space="preserve">определить </w:t>
      </w:r>
      <w:r w:rsidRPr="00A943DF">
        <w:t>соотношени</w:t>
      </w:r>
      <w:r>
        <w:t>е</w:t>
      </w:r>
      <w:r w:rsidRPr="00A943DF">
        <w:t xml:space="preserve"> белковых фракций в крови</w:t>
      </w:r>
      <w:r w:rsidR="00E56A54">
        <w:t xml:space="preserve"> (кроме пациентов с </w:t>
      </w:r>
      <w:r w:rsidR="00E56A54" w:rsidRPr="00BE169C">
        <w:t>несекретирующей, вялотекущей миеломой и миеломой легких цепей</w:t>
      </w:r>
      <w:r w:rsidR="00E56A54">
        <w:t>)</w:t>
      </w:r>
      <w:r>
        <w:t xml:space="preserve"> и моче</w:t>
      </w:r>
      <w:r w:rsidRPr="00A943DF">
        <w:t xml:space="preserve"> методом электрофореза</w:t>
      </w:r>
      <w:r>
        <w:t xml:space="preserve"> с количественным определением </w:t>
      </w:r>
      <w:r>
        <w:lastRenderedPageBreak/>
        <w:t xml:space="preserve">моноклонального и поликлональных иммуноглобулинов и β2-микроглобулина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myeloma","type":"article","volume":"15"},"uris":["http://www.mendeley.com/documents/?uuid=654583c8-45f6-3f26-ba19-0e6818b2cabf"]},{"id":"ITEM-4","itemData":{"DOI":"10.7860/JCDR/2012/4213.2532","ISSN":"2249782X","abstract":"BACKGROUND Multiple Myeloma (M.M) is a neoplasm of B cell lineage characterized by excessive proliferation of abnormal plasma cells, secreting abnormal immunoglobulin causing monoclonal gammopathy which can be detected by the presence of M protein in serum and urine electrophoresis. AIM To detect and quantify monoclonal gammopathy in suspected cases of multiple myeloma and to differentiate them from benign conditions, because of the vast difference between their prognosis and management. METHOD Serum samples from 150 suspected cases of M.M were subjected to serum protein electrophoresis on cellulose acetate strip. M band detected visually and estimation of M protein was done by densitometer. Bone Marrow biopsy and clinical profile were correlated in M band positive cases. RESULT Out of 150 cases 10.66% cases had monoclonal gammopathy. Ten percent cases were diagnosed to be multiple myeloma and one case was found to be Monoclonal gammopathy of undetermined significance. CONCLUSION SPEP is an easy to perform laboratory test which can be used for detection and quantification of monoclonal gammopathy and should be recommended as preliminary test for suspected cases of multiple myeloma. MGUS must be differentiated from M.M, as management and prognosis of these two cases is totally different.","author":[{"dropping-particle":"","family":"Tripathy","given":"Sunita","non-dropping-particle":"","parse-names":false,"suffix":""}],"container-title":"Journal of Clinical and Diagnostic Research","id":"ITEM-4","issue":"9","issued":{"date-parts":[["2012","11","15"]]},"page":"1458-1461","title":"The role of serum protein electrophoresis in the detection of multiple myeloma: An experience of a corporate hospital","type":"article-journal","volume":"6"},"uris":["http://www.mendeley.com/documents/?uuid=a2ea1b2f-2116-3cd0-819c-31f187d28fa1"]},{"id":"ITEM-5","itemData":{"DOI":"10.1007/s12288-015-0605-3","ISSN":"09740449","abstract":"INTRODUCTION: High resolution electrophoresis (HRE) and immunofixation (IFX) of serum and urine are integral to the diagnostic work-up of multiple myeloma. Unusual electrophoresis patterns are common and may be misinterpreted. Though primarily the responsibility of the hematopathologist, clinicians who are responsible for managing myelomas may benefit from knowledge of these. In this review article we intend to discuss the patterns and importance of electrophoresis in present day scenario.\\nMETHODS: Patterns of HRE and IFX seen in our laboratory over the past 15 years were studied.\\nRESULTS: Monoclonal proteins are seen on HRE as sharply defined bands, sometimes two, lying from γ- to α-globulin regions on a background of normal, increased or decreased polyclonal γ-globulins, showing HRE to be a rapid and dependable method of detecting M-protein in serum or urine. Immunofixation complements HRE and due to its greater sensitivity, is able to pick up small or light chain bands, not apparent on electrophoresis, including biclonal disease even when electrophoresis shows only one M-band. Special features liable to misinterpretation are discussed. Familiarity with the interpretation of the varied patterns seen in health and disease is essential for providing dependable laboratory support in the management of multiple myeloma.","author":[{"dropping-particle":"","family":"Misra","given":"Aroonima","non-dropping-particle":"","parse-names":false,"suffix":""},{"dropping-particle":"","family":"Mishra","given":"Jyoti","non-dropping-particle":"","parse-names":false,"suffix":""},{"dropping-particle":"","family":"Chandramohan","given":"Jagan","non-dropping-particle":"","parse-names":false,"suffix":""},{"dropping-particle":"","family":"Sharma","given":"Atul","non-dropping-particle":"","parse-names":false,"suffix":""},{"dropping-particle":"","family":"Raina","given":"Vinod","non-dropping-particle":"","parse-names":false,"suffix":""},{"dropping-particle":"","family":"Kumar","given":"Rajive","non-dropping-particle":"","parse-names":false,"suffix":""},{"dropping-particle":"","family":"Soni","given":"Sushant","non-dropping-particle":"","parse-names":false,"suffix":""},{"dropping-particle":"","family":"Chopra","given":"Anita","non-dropping-particle":"","parse-names":false,"suffix":""}],"container-title":"Indian Journal of Hematology and Blood Transfusion","id":"ITEM-5","issue":"1","issued":{"date-parts":[["2016","3","1"]]},"page":"10-17","publisher":"Springer India","title":"Old but Still Relevant: High Resolution Electrophoresis and Immunofixation in Multiple Myeloma","type":"article","volume":"32"},"uris":["http://www.mendeley.com/documents/?uuid=6ef53f7f-a8ea-313b-8592-b30a07009fbf"]}],"mendeley":{"formattedCitation":"[1,15,16,18,19]","plainTextFormattedCitation":"[1,15,16,18,19]","previouslyFormattedCitation":"[1,15,16,18,19]"},"properties":{"noteIndex":0},"schema":"https://github.com/citation-style-language/schema/raw/master/csl-citation.json"}</w:instrText>
      </w:r>
      <w:r w:rsidR="00A96FB6">
        <w:fldChar w:fldCharType="separate"/>
      </w:r>
      <w:r w:rsidR="000D22CF" w:rsidRPr="000D22CF">
        <w:rPr>
          <w:noProof/>
        </w:rPr>
        <w:t>[1,15,16,18,19]</w:t>
      </w:r>
      <w:r w:rsidR="00A96FB6">
        <w:fldChar w:fldCharType="end"/>
      </w:r>
      <w:r w:rsidR="00340A8E">
        <w:t>;</w:t>
      </w:r>
    </w:p>
    <w:p w:rsidR="00340A8E" w:rsidRDefault="00340A8E" w:rsidP="00786F4D">
      <w:pPr>
        <w:pStyle w:val="a5"/>
        <w:numPr>
          <w:ilvl w:val="2"/>
          <w:numId w:val="2"/>
        </w:numPr>
        <w:spacing w:before="0" w:after="0"/>
      </w:pPr>
      <w:r w:rsidRPr="00A943DF">
        <w:t>исследование моноклональности иммуноглобулинов в крови</w:t>
      </w:r>
      <w:r w:rsidR="00E56A54">
        <w:t xml:space="preserve"> и суточной моче </w:t>
      </w:r>
      <w:r w:rsidRPr="00A943DF">
        <w:t>методом иммунофиксации с количественным определением уровня М-градиента</w:t>
      </w:r>
      <w:r>
        <w:t xml:space="preserve">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myeloma","type":"article","volume":"15"},"uris":["http://www.mendeley.com/documents/?uuid=654583c8-45f6-3f26-ba19-0e6818b2cabf"]},{"id":"ITEM-4","itemData":{"DOI":"10.1007/s12288-015-0605-3","ISSN":"09740449","abstract":"INTRODUCTION: High resolution electrophoresis (HRE) and immunofixation (IFX) of serum and urine are integral to the diagnostic work-up of multiple myeloma. Unusual electrophoresis patterns are common and may be misinterpreted. Though primarily the responsibility of the hematopathologist, clinicians who are responsible for managing myelomas may benefit from knowledge of these. In this review article we intend to discuss the patterns and importance of electrophoresis in present day scenario.\\nMETHODS: Patterns of HRE and IFX seen in our laboratory over the past 15 years were studied.\\nRESULTS: Monoclonal proteins are seen on HRE as sharply defined bands, sometimes two, lying from γ- to α-globulin regions on a background of normal, increased or decreased polyclonal γ-globulins, showing HRE to be a rapid and dependable method of detecting M-protein in serum or urine. Immunofixation complements HRE and due to its greater sensitivity, is able to pick up small or light chain bands, not apparent on electrophoresis, including biclonal disease even when electrophoresis shows only one M-band. Special features liable to misinterpretation are discussed. Familiarity with the interpretation of the varied patterns seen in health and disease is essential for providing dependable laboratory support in the management of multiple myeloma.","author":[{"dropping-particle":"","family":"Misra","given":"Aroonima","non-dropping-particle":"","parse-names":false,"suffix":""},{"dropping-particle":"","family":"Mishra","given":"Jyoti","non-dropping-particle":"","parse-names":false,"suffix":""},{"dropping-particle":"","family":"Chandramohan","given":"Jagan","non-dropping-particle":"","parse-names":false,"suffix":""},{"dropping-particle":"","family":"Sharma","given":"Atul","non-dropping-particle":"","parse-names":false,"suffix":""},{"dropping-particle":"","family":"Raina","given":"Vinod","non-dropping-particle":"","parse-names":false,"suffix":""},{"dropping-particle":"","family":"Kumar","given":"Rajive","non-dropping-particle":"","parse-names":false,"suffix":""},{"dropping-particle":"","family":"Soni","given":"Sushant","non-dropping-particle":"","parse-names":false,"suffix":""},{"dropping-particle":"","family":"Chopra","given":"Anita","non-dropping-particle":"","parse-names":false,"suffix":""}],"container-title":"Indian Journal of Hematology and Blood Transfusion","id":"ITEM-4","issue":"1","issued":{"date-parts":[["2016","3","1"]]},"page":"10-17","publisher":"Springer India","title":"Old but Still Relevant: High Resolution Electrophoresis and Immunofixation in Multiple Myeloma","type":"article","volume":"32"},"uris":["http://www.mendeley.com/documents/?uuid=6ef53f7f-a8ea-313b-8592-b30a07009fbf"]}],"mendeley":{"formattedCitation":"[1,15,16,19]","plainTextFormattedCitation":"[1,15,16,19]","previouslyFormattedCitation":"[1,15,16,19]"},"properties":{"noteIndex":0},"schema":"https://github.com/citation-style-language/schema/raw/master/csl-citation.json"}</w:instrText>
      </w:r>
      <w:r w:rsidR="00A96FB6">
        <w:fldChar w:fldCharType="separate"/>
      </w:r>
      <w:r w:rsidR="000D22CF" w:rsidRPr="000D22CF">
        <w:rPr>
          <w:noProof/>
        </w:rPr>
        <w:t>[1,15,16,19]</w:t>
      </w:r>
      <w:r w:rsidR="00A96FB6">
        <w:fldChar w:fldCharType="end"/>
      </w:r>
      <w:r w:rsidR="00A25036">
        <w:t>.</w:t>
      </w:r>
    </w:p>
    <w:p w:rsidR="00A943DF" w:rsidRDefault="00A943DF" w:rsidP="00131E36">
      <w:pPr>
        <w:spacing w:before="0" w:after="0"/>
        <w:ind w:left="709"/>
        <w:contextualSpacing/>
        <w:rPr>
          <w:b/>
        </w:rPr>
      </w:pPr>
      <w:r w:rsidRPr="0099679A">
        <w:rPr>
          <w:b/>
        </w:rPr>
        <w:t xml:space="preserve">Уровень убедительности рекомендаций </w:t>
      </w:r>
      <w:r w:rsidR="00586EA7">
        <w:rPr>
          <w:b/>
        </w:rPr>
        <w:t xml:space="preserve">− </w:t>
      </w:r>
      <w:r w:rsidR="00582778">
        <w:rPr>
          <w:b/>
        </w:rPr>
        <w:t>С</w:t>
      </w:r>
      <w:r w:rsidRPr="0099679A">
        <w:rPr>
          <w:b/>
        </w:rPr>
        <w:t xml:space="preserve"> (уровень достоверности доказательств </w:t>
      </w:r>
      <w:r w:rsidR="00586EA7">
        <w:rPr>
          <w:b/>
        </w:rPr>
        <w:t xml:space="preserve">− </w:t>
      </w:r>
      <w:r w:rsidR="00582778" w:rsidRPr="00582778">
        <w:rPr>
          <w:b/>
        </w:rPr>
        <w:t>5</w:t>
      </w:r>
      <w:r w:rsidRPr="0099679A">
        <w:rPr>
          <w:b/>
        </w:rPr>
        <w:t>)</w:t>
      </w:r>
    </w:p>
    <w:p w:rsidR="00D64615" w:rsidRDefault="007B27AA" w:rsidP="00131E36">
      <w:pPr>
        <w:spacing w:before="0" w:after="0"/>
        <w:ind w:left="709"/>
        <w:contextualSpacing/>
        <w:rPr>
          <w:i/>
        </w:rPr>
      </w:pPr>
      <w:r w:rsidRPr="00741B6B">
        <w:rPr>
          <w:b/>
        </w:rPr>
        <w:t xml:space="preserve">Комментарий: </w:t>
      </w:r>
      <w:r w:rsidR="00586EA7">
        <w:rPr>
          <w:i/>
        </w:rPr>
        <w:t>х</w:t>
      </w:r>
      <w:r>
        <w:rPr>
          <w:i/>
        </w:rPr>
        <w:t xml:space="preserve">арактерным для ММ является увеличение содержания общего белка в сыворотке крови. При электрофорезе белков сыворотки крови М-градиент </w:t>
      </w:r>
      <w:r w:rsidR="003703A8">
        <w:rPr>
          <w:i/>
        </w:rPr>
        <w:t>определяется у 80</w:t>
      </w:r>
      <w:r w:rsidR="00586EA7">
        <w:rPr>
          <w:i/>
        </w:rPr>
        <w:t> </w:t>
      </w:r>
      <w:r w:rsidR="003703A8">
        <w:rPr>
          <w:i/>
        </w:rPr>
        <w:t xml:space="preserve">% пациентов </w:t>
      </w:r>
      <w:r>
        <w:rPr>
          <w:i/>
        </w:rPr>
        <w:t>ММ в виде характерного пика</w:t>
      </w:r>
      <w:r w:rsidR="00D64615">
        <w:rPr>
          <w:i/>
        </w:rPr>
        <w:t>, при иммунофиксации</w:t>
      </w:r>
      <w:r w:rsidR="00586EA7">
        <w:rPr>
          <w:i/>
        </w:rPr>
        <w:t> </w:t>
      </w:r>
      <w:r w:rsidR="00D64615">
        <w:rPr>
          <w:i/>
        </w:rPr>
        <w:t xml:space="preserve">– у </w:t>
      </w:r>
      <w:r w:rsidR="006F2433">
        <w:rPr>
          <w:i/>
        </w:rPr>
        <w:t>93</w:t>
      </w:r>
      <w:r w:rsidR="00586EA7">
        <w:rPr>
          <w:i/>
        </w:rPr>
        <w:t> </w:t>
      </w:r>
      <w:r w:rsidR="006F2433">
        <w:rPr>
          <w:i/>
        </w:rPr>
        <w:t>%</w:t>
      </w:r>
      <w:r>
        <w:rPr>
          <w:i/>
        </w:rPr>
        <w:t>. Физические особенности парапротеинов лежат в основе синдрома гипервязкости, вероятность которого возрастает</w:t>
      </w:r>
      <w:r w:rsidR="00B76B3D">
        <w:rPr>
          <w:i/>
        </w:rPr>
        <w:t xml:space="preserve"> с увеличением содержания парапротеинов в плазме крови. </w:t>
      </w:r>
    </w:p>
    <w:p w:rsidR="00D64615" w:rsidRDefault="003703A8" w:rsidP="00131E36">
      <w:pPr>
        <w:spacing w:before="0" w:after="0"/>
        <w:ind w:left="709"/>
        <w:contextualSpacing/>
        <w:rPr>
          <w:i/>
        </w:rPr>
      </w:pPr>
      <w:r>
        <w:rPr>
          <w:i/>
        </w:rPr>
        <w:t>Нередко у пациентов с</w:t>
      </w:r>
      <w:r w:rsidR="00D64615">
        <w:rPr>
          <w:i/>
        </w:rPr>
        <w:t xml:space="preserve"> ММ выявляется экскреция патологического белка с мочой. Эти случаи относят к миеломе Бенс-Джонса. Для скрининга мочевого протеина (необходим сбор мочи в течение 24 ч) также испо</w:t>
      </w:r>
      <w:r>
        <w:rPr>
          <w:i/>
        </w:rPr>
        <w:t>льзуют электрофорез и иммунофик</w:t>
      </w:r>
      <w:r w:rsidR="00D64615">
        <w:rPr>
          <w:i/>
        </w:rPr>
        <w:t>сацию.</w:t>
      </w:r>
    </w:p>
    <w:p w:rsidR="007B27AA" w:rsidRDefault="00B76B3D" w:rsidP="00131E36">
      <w:pPr>
        <w:spacing w:before="0" w:after="0"/>
        <w:ind w:left="709"/>
        <w:contextualSpacing/>
        <w:rPr>
          <w:i/>
        </w:rPr>
      </w:pPr>
      <w:r>
        <w:rPr>
          <w:i/>
        </w:rPr>
        <w:t>На основании уровня парапротеинов определя</w:t>
      </w:r>
      <w:r w:rsidR="00071ABE">
        <w:rPr>
          <w:i/>
        </w:rPr>
        <w:t>ю</w:t>
      </w:r>
      <w:r>
        <w:rPr>
          <w:i/>
        </w:rPr>
        <w:t>тся стадия ММ (см. раздел 1.5</w:t>
      </w:r>
      <w:r w:rsidR="00071ABE">
        <w:rPr>
          <w:i/>
        </w:rPr>
        <w:t>.</w:t>
      </w:r>
      <w:r>
        <w:rPr>
          <w:i/>
        </w:rPr>
        <w:t xml:space="preserve"> Классификация ММ), а также глубина ответа на ММ (см. раздел 3.5</w:t>
      </w:r>
      <w:r w:rsidR="00071ABE">
        <w:rPr>
          <w:i/>
        </w:rPr>
        <w:t>.</w:t>
      </w:r>
      <w:r>
        <w:rPr>
          <w:i/>
        </w:rPr>
        <w:t xml:space="preserve"> </w:t>
      </w:r>
      <w:r w:rsidRPr="00B76B3D">
        <w:rPr>
          <w:i/>
        </w:rPr>
        <w:t>Определение эффективности лечения</w:t>
      </w:r>
      <w:r>
        <w:rPr>
          <w:i/>
        </w:rPr>
        <w:t>).</w:t>
      </w:r>
    </w:p>
    <w:p w:rsidR="00340A8E" w:rsidRPr="00741B6B" w:rsidRDefault="00340A8E" w:rsidP="00131E36">
      <w:pPr>
        <w:spacing w:before="0" w:after="0"/>
        <w:ind w:left="709"/>
        <w:contextualSpacing/>
        <w:rPr>
          <w:i/>
        </w:rPr>
      </w:pPr>
      <w:r>
        <w:rPr>
          <w:i/>
        </w:rPr>
        <w:t xml:space="preserve">Иммунофиксацию необходимо выполнять, даже если при электрофорезе крови характерный пик не выявлялся. Она проводится с целью </w:t>
      </w:r>
      <w:r w:rsidR="00A25036" w:rsidRPr="00A25036">
        <w:rPr>
          <w:i/>
          <w:iCs/>
        </w:rPr>
        <w:t>уточнения моноклональной природы М-градиента, обнаруженного в ходе электрофореза белковых фракций, и его типирования (определения, какие типы т</w:t>
      </w:r>
      <w:r w:rsidR="000F0E6B">
        <w:rPr>
          <w:i/>
          <w:iCs/>
        </w:rPr>
        <w:t>я</w:t>
      </w:r>
      <w:r w:rsidR="00A25036" w:rsidRPr="00A25036">
        <w:rPr>
          <w:i/>
          <w:iCs/>
        </w:rPr>
        <w:t>желых и легких цепей входят в его состав)</w:t>
      </w:r>
      <w:r w:rsidR="000F0E6B">
        <w:rPr>
          <w:i/>
          <w:iCs/>
        </w:rPr>
        <w:t>.</w:t>
      </w:r>
    </w:p>
    <w:p w:rsidR="00D37606" w:rsidRPr="00BE169C" w:rsidRDefault="00D37606" w:rsidP="00131E36">
      <w:pPr>
        <w:pStyle w:val="a5"/>
        <w:numPr>
          <w:ilvl w:val="1"/>
          <w:numId w:val="2"/>
        </w:numPr>
        <w:spacing w:before="0" w:after="0"/>
        <w:ind w:left="709" w:hanging="709"/>
      </w:pPr>
      <w:r>
        <w:t xml:space="preserve">Всем </w:t>
      </w:r>
      <w:r w:rsidRPr="00BE169C">
        <w:t>пациентам с несекретирующей, олигосе</w:t>
      </w:r>
      <w:r w:rsidR="00BB20D6" w:rsidRPr="00BE169C">
        <w:t>кретирующей, вялотекущей миеломой</w:t>
      </w:r>
      <w:r w:rsidRPr="00BE169C">
        <w:t xml:space="preserve"> и миелом</w:t>
      </w:r>
      <w:r w:rsidR="00BB20D6" w:rsidRPr="00BE169C">
        <w:t>ой</w:t>
      </w:r>
      <w:r w:rsidRPr="00BE169C">
        <w:t xml:space="preserve"> л</w:t>
      </w:r>
      <w:r w:rsidR="00926C05">
        <w:t>егких цепей, а также при диализ</w:t>
      </w:r>
      <w:r w:rsidRPr="00BE169C">
        <w:t>зависимой почечной недостаточности, при подозрении на заболевание, при первичном или повторном приеме по поводу выявленного заболевания</w:t>
      </w:r>
      <w:r w:rsidR="00EE3E28">
        <w:t>, при контрольных обследованиях</w:t>
      </w:r>
      <w:r w:rsidRPr="00BE169C">
        <w:t xml:space="preserve"> и подозрении на рецидив заболевания </w:t>
      </w:r>
      <w:r w:rsidRPr="00BE169C">
        <w:rPr>
          <w:b/>
        </w:rPr>
        <w:t xml:space="preserve">рекомендуется </w:t>
      </w:r>
      <w:r w:rsidRPr="00BE169C">
        <w:t xml:space="preserve">определение </w:t>
      </w:r>
      <w:r w:rsidRPr="00A963F7">
        <w:t xml:space="preserve">содержания </w:t>
      </w:r>
      <w:r w:rsidR="00926C05">
        <w:t>СЛЦ</w:t>
      </w:r>
      <w:r w:rsidRPr="00A963F7">
        <w:t xml:space="preserve"> в крови для уточнения </w:t>
      </w:r>
      <w:r w:rsidR="00AB1182" w:rsidRPr="00A963F7">
        <w:t>активности</w:t>
      </w:r>
      <w:r w:rsidRPr="00A963F7">
        <w:t xml:space="preserve"> основного заболевания </w:t>
      </w:r>
      <w:r w:rsidRPr="00BE169C">
        <w:t xml:space="preserve">или </w:t>
      </w:r>
      <w:r w:rsidR="00926C05">
        <w:t xml:space="preserve">для </w:t>
      </w:r>
      <w:r w:rsidRPr="00BE169C">
        <w:t xml:space="preserve">оценки ответа на терапию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id":"ITEM-4","itemData":{"author":[{"dropping-particle":"","family":"Любимова","given":"Н.В.","non-dropping-particle":"","parse-names":false,"suffix":""},{"dropping-particle":"","family":"Тимофеев","given":"Ю.С.","non-dropping-particle":"","parse-names":false,"suffix":""},{"dropping-particle":"","family":"Вотякова","given":"О.М.","non-dropping-particle":"","parse-names":false,"suffix":""},{"dropping-particle":"","family":"Кушлинский","given":"Н.Е.","non-dropping-particle":"","parse-names":false,"suffix":""}],"container-title":"Альманах клинической медицины","id":"ITEM-4","issue":"2","issued":{"date-parts":[["2017"]]},"page":"102-108","title":"Свободные легкие цепи иммуноглобулинов в диагностике и прогнозе множественной миеломы.","type":"article-journal","volume":"45"},"uris":["http://www.mendeley.com/documents/?uuid=8aa5368e-e5e8-41af-9d89-285f61c86798"]}],"mendeley":{"formattedCitation":"[1,15,16,20]","plainTextFormattedCitation":"[1,15,16,20]","previouslyFormattedCitation":"[1,15,16,20]"},"properties":{"noteIndex":0},"schema":"https://github.com/citation-style-language/schema/raw/master/csl-citation.json"}</w:instrText>
      </w:r>
      <w:r w:rsidR="00A96FB6">
        <w:fldChar w:fldCharType="separate"/>
      </w:r>
      <w:r w:rsidR="000D22CF" w:rsidRPr="000D22CF">
        <w:rPr>
          <w:noProof/>
        </w:rPr>
        <w:t>[1,15,16,20]</w:t>
      </w:r>
      <w:r w:rsidR="00A96FB6">
        <w:fldChar w:fldCharType="end"/>
      </w:r>
      <w:r w:rsidRPr="00BE169C">
        <w:t>.</w:t>
      </w:r>
    </w:p>
    <w:p w:rsidR="00D37606" w:rsidRDefault="00D37606" w:rsidP="00131E36">
      <w:pPr>
        <w:spacing w:before="0" w:after="0"/>
        <w:ind w:left="709"/>
        <w:contextualSpacing/>
        <w:rPr>
          <w:b/>
        </w:rPr>
      </w:pPr>
      <w:r w:rsidRPr="00BE169C">
        <w:rPr>
          <w:b/>
        </w:rPr>
        <w:t>Урове</w:t>
      </w:r>
      <w:r w:rsidR="003C65DB">
        <w:rPr>
          <w:b/>
        </w:rPr>
        <w:t xml:space="preserve">нь убедительности рекомендаций </w:t>
      </w:r>
      <w:r w:rsidR="00926C05">
        <w:rPr>
          <w:b/>
        </w:rPr>
        <w:t xml:space="preserve">− </w:t>
      </w:r>
      <w:r w:rsidR="006A50CD">
        <w:rPr>
          <w:b/>
        </w:rPr>
        <w:t>В</w:t>
      </w:r>
      <w:r w:rsidR="006A50CD" w:rsidRPr="00BE169C">
        <w:rPr>
          <w:b/>
        </w:rPr>
        <w:t xml:space="preserve"> </w:t>
      </w:r>
      <w:r w:rsidRPr="00BE169C">
        <w:rPr>
          <w:b/>
        </w:rPr>
        <w:t xml:space="preserve">(уровень достоверности доказательств </w:t>
      </w:r>
      <w:r w:rsidR="00926C05">
        <w:rPr>
          <w:b/>
        </w:rPr>
        <w:t xml:space="preserve">− </w:t>
      </w:r>
      <w:r w:rsidR="006A50CD">
        <w:rPr>
          <w:b/>
        </w:rPr>
        <w:t>3</w:t>
      </w:r>
      <w:r w:rsidRPr="00BE169C">
        <w:rPr>
          <w:b/>
        </w:rPr>
        <w:t>)</w:t>
      </w:r>
    </w:p>
    <w:p w:rsidR="007E4984" w:rsidRPr="00BE169C" w:rsidRDefault="007E4984" w:rsidP="00131E36">
      <w:pPr>
        <w:spacing w:before="0" w:after="0"/>
        <w:ind w:left="709"/>
        <w:contextualSpacing/>
        <w:rPr>
          <w:b/>
        </w:rPr>
      </w:pPr>
      <w:r w:rsidRPr="00741B6B">
        <w:rPr>
          <w:b/>
        </w:rPr>
        <w:lastRenderedPageBreak/>
        <w:t xml:space="preserve">Комментарий: </w:t>
      </w:r>
      <w:r w:rsidR="00926C05">
        <w:rPr>
          <w:i/>
        </w:rPr>
        <w:t>в</w:t>
      </w:r>
      <w:r>
        <w:rPr>
          <w:i/>
        </w:rPr>
        <w:t xml:space="preserve">ключение метода определения </w:t>
      </w:r>
      <w:r w:rsidR="005D58D2">
        <w:rPr>
          <w:i/>
        </w:rPr>
        <w:t>СЛЦ</w:t>
      </w:r>
      <w:r>
        <w:rPr>
          <w:i/>
        </w:rPr>
        <w:t xml:space="preserve"> в сыворотке крови в план обследования пациентов с предполагаемой моноклональной</w:t>
      </w:r>
      <w:r w:rsidR="00833D44">
        <w:rPr>
          <w:i/>
        </w:rPr>
        <w:t xml:space="preserve"> </w:t>
      </w:r>
      <w:r>
        <w:rPr>
          <w:i/>
        </w:rPr>
        <w:t>гаммапатией позволяет увеличить диагностическую чувствительность имеющихся методов определения парапротеина, а та</w:t>
      </w:r>
      <w:r w:rsidR="00296908">
        <w:rPr>
          <w:i/>
        </w:rPr>
        <w:t xml:space="preserve">кже проводить мониторинг пациентов </w:t>
      </w:r>
      <w:r>
        <w:rPr>
          <w:i/>
        </w:rPr>
        <w:t>с</w:t>
      </w:r>
      <w:r w:rsidR="00833D44">
        <w:rPr>
          <w:i/>
        </w:rPr>
        <w:t xml:space="preserve"> </w:t>
      </w:r>
      <w:r>
        <w:rPr>
          <w:i/>
        </w:rPr>
        <w:t xml:space="preserve">несекретирующей </w:t>
      </w:r>
      <w:r w:rsidR="005D58D2">
        <w:rPr>
          <w:i/>
        </w:rPr>
        <w:t>ММ</w:t>
      </w:r>
      <w:r>
        <w:rPr>
          <w:i/>
        </w:rPr>
        <w:t xml:space="preserve">. Анализ </w:t>
      </w:r>
      <w:r w:rsidR="005D58D2">
        <w:rPr>
          <w:i/>
        </w:rPr>
        <w:t>СЛЦ</w:t>
      </w:r>
      <w:r w:rsidR="00296908">
        <w:rPr>
          <w:i/>
        </w:rPr>
        <w:t xml:space="preserve"> у пациентов с</w:t>
      </w:r>
      <w:r>
        <w:rPr>
          <w:i/>
        </w:rPr>
        <w:t xml:space="preserve"> ММ приобретает особое значение в прогнозировании ремиссии, поскольку противоопухолевый ответ по результатам их определения наступает раньше по сравнению с результатами стандартных иммунохимических исследований.</w:t>
      </w:r>
    </w:p>
    <w:p w:rsidR="00AB1182" w:rsidRPr="00BE169C" w:rsidRDefault="008D5521" w:rsidP="00131E36">
      <w:pPr>
        <w:pStyle w:val="a5"/>
        <w:numPr>
          <w:ilvl w:val="1"/>
          <w:numId w:val="2"/>
        </w:numPr>
        <w:spacing w:before="0" w:after="0"/>
        <w:ind w:left="709" w:hanging="709"/>
      </w:pPr>
      <w:r w:rsidRPr="00BE169C">
        <w:t xml:space="preserve">Всем пациентам с подозрением на ММ или </w:t>
      </w:r>
      <w:r w:rsidR="008B7771" w:rsidRPr="00BE169C">
        <w:t>ММ</w:t>
      </w:r>
      <w:r w:rsidR="008B7771">
        <w:t>,</w:t>
      </w:r>
      <w:r w:rsidR="008B7771" w:rsidRPr="00BE169C">
        <w:t xml:space="preserve"> </w:t>
      </w:r>
      <w:r w:rsidRPr="00BE169C">
        <w:t xml:space="preserve">выявленной </w:t>
      </w:r>
      <w:r w:rsidR="00AB1182" w:rsidRPr="00BE169C">
        <w:t>при первичном или повторном приеме по поводу выявленного заболевания</w:t>
      </w:r>
      <w:r w:rsidR="00EE3E28">
        <w:t>, при контрольных обследованиях</w:t>
      </w:r>
      <w:r w:rsidR="00AB1182" w:rsidRPr="00BE169C">
        <w:t xml:space="preserve"> и при подозрении на рецидив заболевания </w:t>
      </w:r>
      <w:r w:rsidR="00AB1182" w:rsidRPr="00BE169C">
        <w:rPr>
          <w:b/>
        </w:rPr>
        <w:t xml:space="preserve">рекомендуется </w:t>
      </w:r>
      <w:r w:rsidR="00AB1182" w:rsidRPr="00BE169C">
        <w:t>определение основных групп крови по AB0, определение антигена D системы Резус (резус-фактора)</w:t>
      </w:r>
      <w:r w:rsidR="00833D44">
        <w:t xml:space="preserve">, </w:t>
      </w:r>
      <w:r w:rsidR="00833D44" w:rsidRPr="00E56A54">
        <w:t>определение фенотипа антигенов эритроцитов</w:t>
      </w:r>
      <w:r w:rsidR="00AB1182" w:rsidRPr="00BE169C">
        <w:t xml:space="preserve"> для возможности выполнения гемотрансфузии при наличии показаний до, во время или после терапии</w:t>
      </w:r>
      <w:r w:rsidR="00E56A54">
        <w:t xml:space="preserve"> </w:t>
      </w:r>
      <w:r w:rsidR="00A96FB6">
        <w:fldChar w:fldCharType="begin" w:fldLock="1"/>
      </w:r>
      <w:r w:rsidR="00DF4AEA">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E56A54" w:rsidRPr="00E56A54">
        <w:rPr>
          <w:noProof/>
        </w:rPr>
        <w:t>[1]</w:t>
      </w:r>
      <w:r w:rsidR="00A96FB6">
        <w:fldChar w:fldCharType="end"/>
      </w:r>
      <w:r w:rsidR="00AB1182" w:rsidRPr="00BE169C">
        <w:t>.</w:t>
      </w:r>
    </w:p>
    <w:p w:rsidR="00AB1182" w:rsidRPr="00BE169C" w:rsidRDefault="00AB1182" w:rsidP="00131E36">
      <w:pPr>
        <w:spacing w:before="0" w:after="0"/>
        <w:ind w:left="709"/>
        <w:contextualSpacing/>
        <w:rPr>
          <w:b/>
        </w:rPr>
      </w:pPr>
      <w:r w:rsidRPr="00BE169C">
        <w:rPr>
          <w:b/>
        </w:rPr>
        <w:t>Урове</w:t>
      </w:r>
      <w:r w:rsidR="003C65DB">
        <w:rPr>
          <w:b/>
        </w:rPr>
        <w:t xml:space="preserve">нь убедительности рекомендаций </w:t>
      </w:r>
      <w:r w:rsidR="00524749">
        <w:rPr>
          <w:b/>
        </w:rPr>
        <w:t xml:space="preserve">− </w:t>
      </w:r>
      <w:r w:rsidR="003C65DB">
        <w:rPr>
          <w:b/>
        </w:rPr>
        <w:t>С</w:t>
      </w:r>
      <w:r w:rsidRPr="00BE169C">
        <w:rPr>
          <w:b/>
        </w:rPr>
        <w:t xml:space="preserve"> (уровень достоверности доказательств </w:t>
      </w:r>
      <w:r w:rsidR="00524749">
        <w:rPr>
          <w:b/>
        </w:rPr>
        <w:t xml:space="preserve">− </w:t>
      </w:r>
      <w:r w:rsidR="003C65DB" w:rsidRPr="003C65DB">
        <w:rPr>
          <w:b/>
        </w:rPr>
        <w:t>5</w:t>
      </w:r>
      <w:r w:rsidRPr="00BE169C">
        <w:rPr>
          <w:b/>
        </w:rPr>
        <w:t>)</w:t>
      </w:r>
    </w:p>
    <w:p w:rsidR="00AB1182" w:rsidRPr="00BE169C" w:rsidRDefault="008D5521" w:rsidP="00971A8A">
      <w:pPr>
        <w:pStyle w:val="a5"/>
        <w:numPr>
          <w:ilvl w:val="1"/>
          <w:numId w:val="2"/>
        </w:numPr>
        <w:spacing w:before="0" w:after="0"/>
        <w:ind w:left="709" w:hanging="709"/>
      </w:pPr>
      <w:r w:rsidRPr="00BE169C">
        <w:t>Всем пациентам с подозрением на ММ или выявленной</w:t>
      </w:r>
      <w:r w:rsidR="00AB1182" w:rsidRPr="00BE169C">
        <w:t xml:space="preserve"> </w:t>
      </w:r>
      <w:r w:rsidR="008302A9" w:rsidRPr="00BE169C">
        <w:t xml:space="preserve">ММ </w:t>
      </w:r>
      <w:r w:rsidR="00AB1182" w:rsidRPr="00BE169C">
        <w:t xml:space="preserve">при первичном или повторном приеме по поводу выявленного заболевания, при контрольных обследованиях и при подозрении на рецидив заболевания </w:t>
      </w:r>
      <w:r w:rsidR="00AB1182" w:rsidRPr="00BE169C">
        <w:rPr>
          <w:b/>
        </w:rPr>
        <w:t xml:space="preserve">рекомендуется </w:t>
      </w:r>
      <w:r w:rsidR="001A37A4">
        <w:t>о</w:t>
      </w:r>
      <w:r w:rsidR="001A37A4" w:rsidRPr="001A37A4">
        <w:t xml:space="preserve">пределение антител к вирусу гепатита C (Hepatitis C virus) в крови; </w:t>
      </w:r>
      <w:r w:rsidR="006A50CD" w:rsidRPr="001A37A4">
        <w:t xml:space="preserve">определение </w:t>
      </w:r>
      <w:r w:rsidR="001A37A4" w:rsidRPr="001A37A4">
        <w:t>антител к поверхностному антигену (HBsAg) вируса гепатита B (Hepatitis B virus) в крови</w:t>
      </w:r>
      <w:r w:rsidR="001A37A4" w:rsidRPr="001A37A4" w:rsidDel="001A37A4">
        <w:t xml:space="preserve"> </w:t>
      </w:r>
      <w:r w:rsidR="00AB1182" w:rsidRPr="00BE169C">
        <w:t>с целью уточнения необходимости терапии или профилактики реактивации вирусного гепатита</w:t>
      </w:r>
      <w:r w:rsidR="00E56A54">
        <w:t xml:space="preserve"> </w:t>
      </w:r>
      <w:r w:rsidR="00A96FB6">
        <w:fldChar w:fldCharType="begin" w:fldLock="1"/>
      </w:r>
      <w:r w:rsidR="00DF4AEA">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E56A54" w:rsidRPr="00E56A54">
        <w:rPr>
          <w:noProof/>
        </w:rPr>
        <w:t>[1]</w:t>
      </w:r>
      <w:r w:rsidR="00A96FB6">
        <w:fldChar w:fldCharType="end"/>
      </w:r>
      <w:r w:rsidR="00AB1182" w:rsidRPr="00BE169C">
        <w:t>.</w:t>
      </w:r>
    </w:p>
    <w:p w:rsidR="00AB1182" w:rsidRPr="00BE169C" w:rsidRDefault="00AB1182" w:rsidP="00131E36">
      <w:pPr>
        <w:spacing w:before="0" w:after="0"/>
        <w:ind w:left="709"/>
        <w:contextualSpacing/>
        <w:rPr>
          <w:b/>
        </w:rPr>
      </w:pPr>
      <w:r w:rsidRPr="00BE169C">
        <w:rPr>
          <w:b/>
        </w:rPr>
        <w:t>Урове</w:t>
      </w:r>
      <w:r w:rsidR="003C65DB">
        <w:rPr>
          <w:b/>
        </w:rPr>
        <w:t xml:space="preserve">нь убедительности рекомендаций </w:t>
      </w:r>
      <w:r w:rsidR="00524749">
        <w:rPr>
          <w:b/>
        </w:rPr>
        <w:t xml:space="preserve">− </w:t>
      </w:r>
      <w:r w:rsidR="003C65DB">
        <w:rPr>
          <w:b/>
        </w:rPr>
        <w:t>С</w:t>
      </w:r>
      <w:r w:rsidRPr="00BE169C">
        <w:rPr>
          <w:b/>
        </w:rPr>
        <w:t xml:space="preserve"> (уровень достоверности доказательств </w:t>
      </w:r>
      <w:r w:rsidR="00524749">
        <w:rPr>
          <w:b/>
        </w:rPr>
        <w:t xml:space="preserve">− </w:t>
      </w:r>
      <w:r w:rsidR="003C65DB" w:rsidRPr="003C65DB">
        <w:rPr>
          <w:b/>
        </w:rPr>
        <w:t>5</w:t>
      </w:r>
      <w:r w:rsidRPr="00BE169C">
        <w:rPr>
          <w:b/>
        </w:rPr>
        <w:t>)</w:t>
      </w:r>
    </w:p>
    <w:p w:rsidR="00AB1182" w:rsidRPr="00BE169C" w:rsidRDefault="00783FB2" w:rsidP="00131E36">
      <w:pPr>
        <w:pStyle w:val="a5"/>
        <w:numPr>
          <w:ilvl w:val="1"/>
          <w:numId w:val="2"/>
        </w:numPr>
        <w:spacing w:before="0" w:after="0"/>
        <w:ind w:left="709" w:hanging="709"/>
      </w:pPr>
      <w:r w:rsidRPr="00BE169C">
        <w:t xml:space="preserve">Всем пациентам с подозрением на ММ или выявленной ММ </w:t>
      </w:r>
      <w:r w:rsidR="00524749">
        <w:t>при подозрении на заболевание</w:t>
      </w:r>
      <w:r w:rsidR="00AB1182" w:rsidRPr="00BE169C">
        <w:t xml:space="preserve"> при первичном или повторном приеме по поводу выявленного заболевания</w:t>
      </w:r>
      <w:r w:rsidR="00EE3E28">
        <w:t>, при контрольных обследованиях</w:t>
      </w:r>
      <w:r w:rsidR="00AB1182" w:rsidRPr="00BE169C">
        <w:t xml:space="preserve"> и при подозрении на рецидив заболевания </w:t>
      </w:r>
      <w:r w:rsidR="00AB1182" w:rsidRPr="00BE169C">
        <w:rPr>
          <w:b/>
        </w:rPr>
        <w:t xml:space="preserve">рекомендуется </w:t>
      </w:r>
      <w:r w:rsidR="000D22CF" w:rsidRPr="004805A1">
        <w:t>определение антител классов M, G (IgM, IgG) к вирус</w:t>
      </w:r>
      <w:r w:rsidR="000D22CF">
        <w:t>ам</w:t>
      </w:r>
      <w:r w:rsidR="000D22CF" w:rsidRPr="004805A1">
        <w:t xml:space="preserve"> иммунодефицита человека ВИЧ-1 (Human immunodeficiency virus HIV 1)</w:t>
      </w:r>
      <w:r w:rsidR="000D22CF">
        <w:t xml:space="preserve"> и </w:t>
      </w:r>
      <w:r w:rsidR="000D22CF" w:rsidRPr="004805A1">
        <w:t>ВИЧ-</w:t>
      </w:r>
      <w:r w:rsidR="000D22CF">
        <w:t>2</w:t>
      </w:r>
      <w:r w:rsidR="000D22CF" w:rsidRPr="004805A1">
        <w:t xml:space="preserve"> (Human immunodeficiency virus HIV </w:t>
      </w:r>
      <w:r w:rsidR="000D22CF">
        <w:t>2</w:t>
      </w:r>
      <w:r w:rsidR="000D22CF" w:rsidRPr="004805A1">
        <w:t>) в крови</w:t>
      </w:r>
      <w:r w:rsidR="000D22CF">
        <w:t xml:space="preserve"> </w:t>
      </w:r>
      <w:r w:rsidR="00AB1182" w:rsidRPr="00BE169C">
        <w:t>для уточнения необходимости одновременного проведения противоопухолевой и антиретровирусной терапии</w:t>
      </w:r>
      <w:r w:rsidR="00E56A54">
        <w:t xml:space="preserve"> </w:t>
      </w:r>
      <w:r w:rsidR="00A96FB6">
        <w:fldChar w:fldCharType="begin" w:fldLock="1"/>
      </w:r>
      <w:r w:rsidR="00DF4AEA">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E56A54" w:rsidRPr="00E56A54">
        <w:rPr>
          <w:noProof/>
        </w:rPr>
        <w:t>[1]</w:t>
      </w:r>
      <w:r w:rsidR="00A96FB6">
        <w:fldChar w:fldCharType="end"/>
      </w:r>
      <w:r w:rsidR="00AB1182" w:rsidRPr="00BE169C">
        <w:t>.</w:t>
      </w:r>
    </w:p>
    <w:p w:rsidR="00A943DF" w:rsidRPr="00BE169C" w:rsidRDefault="00AB1182" w:rsidP="00131E36">
      <w:pPr>
        <w:spacing w:before="0" w:after="0"/>
        <w:ind w:left="709"/>
        <w:contextualSpacing/>
        <w:rPr>
          <w:b/>
        </w:rPr>
      </w:pPr>
      <w:r w:rsidRPr="00BE169C">
        <w:rPr>
          <w:b/>
        </w:rPr>
        <w:lastRenderedPageBreak/>
        <w:t>Уровень убедительност</w:t>
      </w:r>
      <w:r w:rsidR="003C65DB">
        <w:rPr>
          <w:b/>
        </w:rPr>
        <w:t xml:space="preserve">и рекомендаций </w:t>
      </w:r>
      <w:r w:rsidR="00F75CE3">
        <w:rPr>
          <w:b/>
        </w:rPr>
        <w:t xml:space="preserve">− </w:t>
      </w:r>
      <w:r w:rsidR="003C65DB">
        <w:rPr>
          <w:b/>
        </w:rPr>
        <w:t>С</w:t>
      </w:r>
      <w:r w:rsidRPr="00BE169C">
        <w:rPr>
          <w:b/>
        </w:rPr>
        <w:t xml:space="preserve"> (уровень достоверности доказательств </w:t>
      </w:r>
      <w:r w:rsidR="00F75CE3">
        <w:rPr>
          <w:b/>
        </w:rPr>
        <w:t xml:space="preserve">− </w:t>
      </w:r>
      <w:r w:rsidR="003C65DB" w:rsidRPr="003C65DB">
        <w:rPr>
          <w:b/>
        </w:rPr>
        <w:t>5</w:t>
      </w:r>
      <w:r w:rsidRPr="00BE169C">
        <w:rPr>
          <w:b/>
        </w:rPr>
        <w:t>)</w:t>
      </w:r>
    </w:p>
    <w:p w:rsidR="00DF4AEA" w:rsidRDefault="00DF4AEA" w:rsidP="00DF4AEA">
      <w:pPr>
        <w:pStyle w:val="a5"/>
        <w:numPr>
          <w:ilvl w:val="1"/>
          <w:numId w:val="2"/>
        </w:numPr>
        <w:spacing w:before="0" w:after="0"/>
        <w:ind w:left="709" w:hanging="709"/>
      </w:pPr>
      <w:r>
        <w:t xml:space="preserve">Всем пациентам с подозрением на ММ или выявленной ММ при первичном или повторном приеме, при контрольных </w:t>
      </w:r>
      <w:r w:rsidRPr="0045110A">
        <w:t xml:space="preserve">обследованиях и при подозрении на рецидив заболевания </w:t>
      </w:r>
      <w:r w:rsidRPr="0045110A">
        <w:rPr>
          <w:b/>
        </w:rPr>
        <w:t>рекомендуется</w:t>
      </w:r>
      <w:r w:rsidRPr="0045110A">
        <w:t xml:space="preserve"> исследование уровня поликлональных</w:t>
      </w:r>
      <w:r>
        <w:t xml:space="preserve"> </w:t>
      </w:r>
      <w:r w:rsidRPr="00D37606">
        <w:t>иммуноглобулинов в крови для оценки степени гуморального иммунодефицита</w:t>
      </w:r>
      <w:r>
        <w:t xml:space="preserve">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fldChar w:fldCharType="separate"/>
      </w:r>
      <w:r w:rsidR="000D22CF" w:rsidRPr="000D22CF">
        <w:rPr>
          <w:noProof/>
        </w:rPr>
        <w:t>[1,15,16]</w:t>
      </w:r>
      <w:r w:rsidR="00A96FB6">
        <w:fldChar w:fldCharType="end"/>
      </w:r>
      <w:r>
        <w:t>.</w:t>
      </w:r>
    </w:p>
    <w:p w:rsidR="00DF4AEA" w:rsidRDefault="00DF4AEA" w:rsidP="00DF4AEA">
      <w:pPr>
        <w:spacing w:before="0" w:after="0"/>
        <w:ind w:left="709"/>
        <w:contextualSpacing/>
        <w:rPr>
          <w:b/>
        </w:rPr>
      </w:pPr>
      <w:r w:rsidRPr="0099679A">
        <w:rPr>
          <w:b/>
        </w:rPr>
        <w:t xml:space="preserve">Уровень убедительности рекомендаций </w:t>
      </w:r>
      <w:r w:rsidR="00F75CE3">
        <w:rPr>
          <w:b/>
        </w:rPr>
        <w:t xml:space="preserve">− </w:t>
      </w:r>
      <w:r>
        <w:rPr>
          <w:b/>
        </w:rPr>
        <w:t>С</w:t>
      </w:r>
      <w:r w:rsidRPr="0099679A">
        <w:rPr>
          <w:b/>
        </w:rPr>
        <w:t xml:space="preserve"> (уровень достоверности доказательств </w:t>
      </w:r>
      <w:r w:rsidR="00F75CE3">
        <w:rPr>
          <w:b/>
        </w:rPr>
        <w:t xml:space="preserve">− </w:t>
      </w:r>
      <w:r w:rsidRPr="00582778">
        <w:rPr>
          <w:b/>
        </w:rPr>
        <w:t>5</w:t>
      </w:r>
      <w:r w:rsidRPr="0099679A">
        <w:rPr>
          <w:b/>
        </w:rPr>
        <w:t>)</w:t>
      </w:r>
    </w:p>
    <w:p w:rsidR="00DF4AEA" w:rsidRPr="00741B6B" w:rsidRDefault="00DF4AEA" w:rsidP="00DF4AEA">
      <w:pPr>
        <w:spacing w:before="0" w:after="0"/>
        <w:ind w:left="709"/>
        <w:contextualSpacing/>
        <w:rPr>
          <w:i/>
        </w:rPr>
      </w:pPr>
      <w:r w:rsidRPr="00741B6B">
        <w:rPr>
          <w:b/>
        </w:rPr>
        <w:t xml:space="preserve">Комментарий: </w:t>
      </w:r>
      <w:r>
        <w:rPr>
          <w:i/>
        </w:rPr>
        <w:t xml:space="preserve">снижение уровня поликлональных иммуноглобулинов часто сопровождает активную </w:t>
      </w:r>
      <w:r w:rsidR="00F75CE3">
        <w:rPr>
          <w:i/>
        </w:rPr>
        <w:t>ММ</w:t>
      </w:r>
      <w:r>
        <w:rPr>
          <w:i/>
        </w:rPr>
        <w:t xml:space="preserve"> и является одним из факторов риска повышенной склонности пациентов к инфекционным осложнениям </w:t>
      </w:r>
      <w:r w:rsidR="00A96FB6">
        <w:rPr>
          <w:i/>
        </w:rPr>
        <w:fldChar w:fldCharType="begin" w:fldLock="1"/>
      </w:r>
      <w:r w:rsidR="005808F9">
        <w:rPr>
          <w:i/>
        </w:rPr>
        <w:instrText>ADDIN CSL_CITATION {"citationItems":[{"id":"ITEM-1","itemData":{"DOI":"10.1111/j.1365-2141.2007.06705.x","ISSN":"0007-1048","PMID":"17686051","abstract":"Multiple myeloma is a malignant tumour of plasma cells that remains incurable for the vast majority of patients, with a median survival of 2-3 years. It is characterized by the patchy accumulation of tumour cells within bone marrow leading to variable anaemia, bone destruction, hypercalcaemia, renal failure and infections. Immune dysfunction is an important feature of the disease and leads to infections that are both a major cause of morbidity and mortality and may promote tumour growth and resistance to chemotherapy. Numerous defects of the immune system have been described in multiple myeloma although the relative clinical importance of these remains elusive. There has been considerable interest in the identification of an autologous response against myeloma. Although T cells and humoral responses directed against myeloma-associated antigens have been described, it is uncertain if the immune system plays a role in preventing or controlling myeloma cell growth. There is increasing interest in the potential role of immunotherapy but the success of these interventions is likely to be modified by the immunologically hostile environment associated with multiple myeloma. This review attempts to summarize the current knowledge relating to the immune defects found in multiple myeloma.","author":[{"dropping-particle":"","family":"Pratt","given":"Guy","non-dropping-particle":"","parse-names":false,"suffix":""},{"dropping-particle":"","family":"Goodyear","given":"Oliver","non-dropping-particle":"","parse-names":false,"suffix":""},{"dropping-particle":"","family":"Moss","given":"Paul","non-dropping-particle":"","parse-names":false,"suffix":""}],"container-title":"British journal of haematology","id":"ITEM-1","issue":"5","issued":{"date-parts":[["2007","9"]]},"page":"563-79","title":"Immunodeficiency and immunotherapy in multiple myeloma.","type":"article-journal","volume":"138"},"uris":["http://www.mendeley.com/documents/?uuid=b78047e3-9813-3be9-90ac-9601b6c45587"]}],"mendeley":{"formattedCitation":"[21]","plainTextFormattedCitation":"[21]","previouslyFormattedCitation":"[21]"},"properties":{"noteIndex":0},"schema":"https://github.com/citation-style-language/schema/raw/master/csl-citation.json"}</w:instrText>
      </w:r>
      <w:r w:rsidR="00A96FB6">
        <w:rPr>
          <w:i/>
        </w:rPr>
        <w:fldChar w:fldCharType="separate"/>
      </w:r>
      <w:r w:rsidRPr="00DF4AEA">
        <w:rPr>
          <w:noProof/>
        </w:rPr>
        <w:t>[21]</w:t>
      </w:r>
      <w:r w:rsidR="00A96FB6">
        <w:rPr>
          <w:i/>
        </w:rPr>
        <w:fldChar w:fldCharType="end"/>
      </w:r>
      <w:r>
        <w:rPr>
          <w:i/>
        </w:rPr>
        <w:t xml:space="preserve">. Выявление сниженного уровня поликлонального иммуноглобулина требует большей настороженности лечащего врача относительно возможности развития инфекционных осложнений, при повторяющихся инфекциях и сохранении низкого уровня поликлональных иммуноглобулинов возможно рассмотрение вопроса о медикаментозной коррекции иммунодефицита. </w:t>
      </w:r>
    </w:p>
    <w:p w:rsidR="005808F9" w:rsidRPr="00BE169C" w:rsidRDefault="005808F9" w:rsidP="005808F9">
      <w:pPr>
        <w:pStyle w:val="a5"/>
        <w:numPr>
          <w:ilvl w:val="0"/>
          <w:numId w:val="3"/>
        </w:numPr>
        <w:spacing w:before="0" w:after="0"/>
        <w:ind w:left="709" w:hanging="709"/>
      </w:pPr>
      <w:r w:rsidRPr="00BE169C">
        <w:t>Всем пациентам с подозрением на ММ или выявленной ММ при первичном приеме</w:t>
      </w:r>
      <w:r>
        <w:t>, при контрольных обследованиях</w:t>
      </w:r>
      <w:r w:rsidRPr="00BE169C">
        <w:t xml:space="preserve"> и при подозрении на рецидив заболевания </w:t>
      </w:r>
      <w:r w:rsidRPr="00BE169C">
        <w:rPr>
          <w:b/>
        </w:rPr>
        <w:t>рекомендуется</w:t>
      </w:r>
      <w:r w:rsidRPr="00BE169C">
        <w:t xml:space="preserve"> выполнить</w:t>
      </w:r>
      <w:r>
        <w:t xml:space="preserve"> </w:t>
      </w:r>
      <w:r w:rsidRPr="003E42BD">
        <w:t xml:space="preserve">получение цитологического препарата </w:t>
      </w:r>
      <w:r>
        <w:t xml:space="preserve">КМ </w:t>
      </w:r>
      <w:r w:rsidRPr="003E42BD">
        <w:t>путем пункции</w:t>
      </w:r>
      <w:r>
        <w:t xml:space="preserve"> (стернальная пункция),</w:t>
      </w:r>
      <w:r w:rsidRPr="00466B8C">
        <w:t xml:space="preserve"> </w:t>
      </w:r>
      <w:r w:rsidRPr="00D07EC1">
        <w:t>цитологическое</w:t>
      </w:r>
      <w:r>
        <w:t xml:space="preserve"> (миелограмма) и иммунофенотипическое (методом проточной цитофлуориметрии) </w:t>
      </w:r>
      <w:r w:rsidRPr="00D07EC1">
        <w:t>исследовани</w:t>
      </w:r>
      <w:r>
        <w:t>е мазка</w:t>
      </w:r>
      <w:r w:rsidRPr="00D07EC1">
        <w:t xml:space="preserve"> </w:t>
      </w:r>
      <w:r>
        <w:t xml:space="preserve">КМ </w:t>
      </w:r>
      <w:r w:rsidRPr="00BE169C">
        <w:t>для подтверждения и формулирования диагноза</w:t>
      </w:r>
      <w:r>
        <w:t xml:space="preserve"> </w:t>
      </w:r>
      <w:r w:rsidR="00A96FB6">
        <w:fldChar w:fldCharType="begin" w:fldLock="1"/>
      </w:r>
      <w:r w:rsidR="008E3216">
        <w:instrText>ADDIN CSL_CITATION {"citationItems":[{"id":"ITEM-1","itemData":{"DOI":"10.1016/j.clml.2015.07.301","ISSN":"21522650","author":[{"dropping-particle":"","family":"Julie","given":"D.","non-dropping-particle":"","parse-names":false,"suffix":""},{"dropping-particle":"","family":"Roland","given":"D.W.","non-dropping-particle":"","parse-names":false,"suffix":""},{"dropping-particle":"","family":"Marie-Françoise","given":"D.","non-dropping-particle":"","parse-names":false,"suffix":""},{"dropping-particle":"","family":"Brigitte","given":"C.","non-dropping-particle":"","parse-names":false,"suffix":""},{"dropping-particle":"","family":"Olivier","given":"P.","non-dropping-particle":"","parse-names":false,"suffix":""},{"dropping-particle":"","family":"Jonathan","given":"B.","non-dropping-particle":"","parse-names":false,"suffix":""},{"dropping-particle":"","family":"Marie","given":"M.","non-dropping-particle":"","parse-names":false,"suffix":""},{"dropping-particle":"","family":"Virginie","given":"D.W.","non-dropping-particle":"","parse-names":false,"suffix":""},{"dropping-particle":"","family":"Benjamin","given":"B.","non-dropping-particle":"","parse-names":false,"suffix":""},{"dropping-particle":"","family":"Sarah","given":"B.","non-dropping-particle":"","parse-names":false,"suffix":""},{"dropping-particle":"","family":"Dominique","given":"B.","non-dropping-particle":"","parse-names":false,"suffix":""},{"dropping-particle":"","family":"Nathalie","given":"M.","non-dropping-particle":"","parse-names":false,"suffix":""}],"container-title":"Clinical Lymphoma Myeloma and Leukemia","id":"ITEM-1","issued":{"date-parts":[["2015","9"]]},"page":"e117","publisher":"Elsevier BV","title":"Comparison of Bone marrow Aspirate and Bone marrow Biopsy in the workup of Patients with Multiple Myeloma","type":"article-journal","volume":"15"},"uris":["http://www.mendeley.com/documents/?uuid=32e7873d-8d80-3fd1-96b5-3b37e8d4f0bf"]}],"mendeley":{"formattedCitation":"[22]","plainTextFormattedCitation":"[22]","previouslyFormattedCitation":"[22]"},"properties":{"noteIndex":0},"schema":"https://github.com/citation-style-language/schema/raw/master/csl-citation.json"}</w:instrText>
      </w:r>
      <w:r w:rsidR="00A96FB6">
        <w:fldChar w:fldCharType="separate"/>
      </w:r>
      <w:r w:rsidR="008E3216" w:rsidRPr="008E3216">
        <w:rPr>
          <w:noProof/>
        </w:rPr>
        <w:t>[22]</w:t>
      </w:r>
      <w:r w:rsidR="00A96FB6">
        <w:fldChar w:fldCharType="end"/>
      </w:r>
      <w:r w:rsidRPr="00BE169C">
        <w:t>.</w:t>
      </w:r>
    </w:p>
    <w:p w:rsidR="005808F9" w:rsidRDefault="005808F9" w:rsidP="005808F9">
      <w:pPr>
        <w:spacing w:before="0" w:after="0"/>
        <w:ind w:left="709"/>
        <w:contextualSpacing/>
        <w:rPr>
          <w:b/>
        </w:rPr>
      </w:pPr>
      <w:r w:rsidRPr="00741B6B">
        <w:rPr>
          <w:b/>
        </w:rPr>
        <w:t xml:space="preserve">Уровень убедительности рекомендаций </w:t>
      </w:r>
      <w:r w:rsidR="006A50CD">
        <w:rPr>
          <w:b/>
        </w:rPr>
        <w:t>С</w:t>
      </w:r>
      <w:r w:rsidR="006A50CD" w:rsidRPr="00741B6B">
        <w:rPr>
          <w:b/>
        </w:rPr>
        <w:t xml:space="preserve"> </w:t>
      </w:r>
      <w:r w:rsidRPr="00741B6B">
        <w:rPr>
          <w:b/>
        </w:rPr>
        <w:t xml:space="preserve">(уровень достоверности доказательств </w:t>
      </w:r>
      <w:r w:rsidR="006A50CD">
        <w:rPr>
          <w:b/>
        </w:rPr>
        <w:t>4</w:t>
      </w:r>
      <w:r w:rsidRPr="00741B6B">
        <w:rPr>
          <w:b/>
        </w:rPr>
        <w:t>)</w:t>
      </w:r>
    </w:p>
    <w:p w:rsidR="008E3216" w:rsidRPr="008E3216" w:rsidRDefault="00B60AA1" w:rsidP="005E2A0F">
      <w:pPr>
        <w:pStyle w:val="a5"/>
        <w:numPr>
          <w:ilvl w:val="0"/>
          <w:numId w:val="3"/>
        </w:numPr>
        <w:spacing w:before="0" w:after="0"/>
        <w:ind w:left="709" w:hanging="709"/>
      </w:pPr>
      <w:r w:rsidRPr="00BE169C">
        <w:t>Всем пациентам с подозрением на ММ или выявленной ММ при первичном приеме</w:t>
      </w:r>
      <w:r w:rsidR="00EE3E28">
        <w:t>, при контрольных обследованиях</w:t>
      </w:r>
      <w:r w:rsidRPr="00BE169C">
        <w:t xml:space="preserve"> и при подозрении на рецидив заболевания </w:t>
      </w:r>
      <w:r w:rsidRPr="008E3216">
        <w:rPr>
          <w:b/>
        </w:rPr>
        <w:t>рекомендуется</w:t>
      </w:r>
      <w:r w:rsidRPr="00BE169C">
        <w:t xml:space="preserve"> выполнить</w:t>
      </w:r>
      <w:r w:rsidR="00833D44">
        <w:t xml:space="preserve"> </w:t>
      </w:r>
      <w:r w:rsidR="008E3216" w:rsidRPr="008E3216">
        <w:t xml:space="preserve">получение гистологического препарата </w:t>
      </w:r>
      <w:r w:rsidR="008D6BCF">
        <w:t>костного мозга (</w:t>
      </w:r>
      <w:r w:rsidR="008E3216" w:rsidRPr="008D6BCF">
        <w:t>КМ</w:t>
      </w:r>
      <w:r w:rsidR="008D6BCF">
        <w:t>)</w:t>
      </w:r>
      <w:r w:rsidR="008E3216" w:rsidRPr="008E3216">
        <w:t xml:space="preserve"> (трепанобиопси</w:t>
      </w:r>
      <w:r w:rsidR="008412D3">
        <w:t>ю</w:t>
      </w:r>
      <w:r w:rsidR="008E3216" w:rsidRPr="008E3216">
        <w:t xml:space="preserve">) и </w:t>
      </w:r>
      <w:r w:rsidR="00396D2C">
        <w:t>п</w:t>
      </w:r>
      <w:r w:rsidR="00396D2C" w:rsidRPr="00396D2C">
        <w:t>атолого-анатомическое исследование биопсийного (операционного) материала костного мозга с применением иммуногистохимических методов</w:t>
      </w:r>
      <w:r w:rsidR="008E3216" w:rsidRPr="008E3216">
        <w:t xml:space="preserve"> для подтверждения и формулирования диагноза </w:t>
      </w:r>
      <w:r w:rsidR="00A96FB6">
        <w:fldChar w:fldCharType="begin" w:fldLock="1"/>
      </w:r>
      <w:r w:rsidR="008E3216">
        <w:instrText>ADDIN CSL_CITATION {"citationItems":[{"id":"ITEM-1","itemData":{"DOI":"10.1016/j.clml.2015.07.301","ISSN":"21522650","author":[{"dropping-particle":"","family":"Julie","given":"D.","non-dropping-particle":"","parse-names":false,"suffix":""},{"dropping-particle":"","family":"Roland","given":"D.W.","non-dropping-particle":"","parse-names":false,"suffix":""},{"dropping-particle":"","family":"Marie-Françoise","given":"D.","non-dropping-particle":"","parse-names":false,"suffix":""},{"dropping-particle":"","family":"Brigitte","given":"C.","non-dropping-particle":"","parse-names":false,"suffix":""},{"dropping-particle":"","family":"Olivier","given":"P.","non-dropping-particle":"","parse-names":false,"suffix":""},{"dropping-particle":"","family":"Jonathan","given":"B.","non-dropping-particle":"","parse-names":false,"suffix":""},{"dropping-particle":"","family":"Marie","given":"M.","non-dropping-particle":"","parse-names":false,"suffix":""},{"dropping-particle":"","family":"Virginie","given":"D.W.","non-dropping-particle":"","parse-names":false,"suffix":""},{"dropping-particle":"","family":"Benjamin","given":"B.","non-dropping-particle":"","parse-names":false,"suffix":""},{"dropping-particle":"","family":"Sarah","given":"B.","non-dropping-particle":"","parse-names":false,"suffix":""},{"dropping-particle":"","family":"Dominique","given":"B.","non-dropping-particle":"","parse-names":false,"suffix":""},{"dropping-particle":"","family":"Nathalie","given":"M.","non-dropping-particle":"","parse-names":false,"suffix":""}],"container-title":"Clinical Lymphoma Myeloma and Leukemia","id":"ITEM-1","issued":{"date-parts":[["2015","9"]]},"page":"e117","publisher":"Elsevier BV","title":"Comparison of Bone marrow Aspirate and Bone marrow Biopsy in the workup of Patients with Multiple Myeloma","type":"article-journal","volume":"15"},"uris":["http://www.mendeley.com/documents/?uuid=32e7873d-8d80-3fd1-96b5-3b37e8d4f0bf"]}],"mendeley":{"formattedCitation":"[22]","plainTextFormattedCitation":"[22]","previouslyFormattedCitation":"[22]"},"properties":{"noteIndex":0},"schema":"https://github.com/citation-style-language/schema/raw/master/csl-citation.json"}</w:instrText>
      </w:r>
      <w:r w:rsidR="00A96FB6">
        <w:fldChar w:fldCharType="separate"/>
      </w:r>
      <w:r w:rsidR="008E3216" w:rsidRPr="008E3216">
        <w:rPr>
          <w:noProof/>
        </w:rPr>
        <w:t>[22]</w:t>
      </w:r>
      <w:r w:rsidR="00A96FB6">
        <w:fldChar w:fldCharType="end"/>
      </w:r>
      <w:r w:rsidR="008E3216" w:rsidRPr="00BE169C">
        <w:t>.</w:t>
      </w:r>
    </w:p>
    <w:p w:rsidR="004D7374" w:rsidRDefault="004D7374" w:rsidP="00131E36">
      <w:pPr>
        <w:spacing w:before="0" w:after="0"/>
        <w:ind w:left="709"/>
        <w:contextualSpacing/>
        <w:rPr>
          <w:b/>
        </w:rPr>
      </w:pPr>
      <w:r w:rsidRPr="00741B6B">
        <w:rPr>
          <w:b/>
        </w:rPr>
        <w:t xml:space="preserve">Уровень убедительности рекомендаций </w:t>
      </w:r>
      <w:r w:rsidR="008412D3">
        <w:rPr>
          <w:b/>
        </w:rPr>
        <w:t xml:space="preserve">− </w:t>
      </w:r>
      <w:r w:rsidR="006A50CD">
        <w:rPr>
          <w:b/>
        </w:rPr>
        <w:t>С</w:t>
      </w:r>
      <w:r w:rsidR="006A50CD" w:rsidRPr="00741B6B">
        <w:rPr>
          <w:b/>
        </w:rPr>
        <w:t xml:space="preserve"> </w:t>
      </w:r>
      <w:r w:rsidRPr="00741B6B">
        <w:rPr>
          <w:b/>
        </w:rPr>
        <w:t xml:space="preserve">(уровень достоверности доказательств </w:t>
      </w:r>
      <w:r w:rsidR="008412D3">
        <w:rPr>
          <w:b/>
        </w:rPr>
        <w:t xml:space="preserve">− </w:t>
      </w:r>
      <w:r w:rsidR="006A50CD">
        <w:rPr>
          <w:b/>
        </w:rPr>
        <w:t>4</w:t>
      </w:r>
      <w:r w:rsidRPr="00741B6B">
        <w:rPr>
          <w:b/>
        </w:rPr>
        <w:t>)</w:t>
      </w:r>
    </w:p>
    <w:p w:rsidR="00AE5CC8" w:rsidRDefault="00AE5CC8" w:rsidP="00131E36">
      <w:pPr>
        <w:pStyle w:val="a5"/>
        <w:numPr>
          <w:ilvl w:val="0"/>
          <w:numId w:val="3"/>
        </w:numPr>
        <w:spacing w:before="0" w:after="0"/>
        <w:ind w:left="709" w:hanging="709"/>
      </w:pPr>
      <w:r>
        <w:lastRenderedPageBreak/>
        <w:t xml:space="preserve">Всем пациентам с </w:t>
      </w:r>
      <w:r w:rsidR="006F0E70">
        <w:t xml:space="preserve">впервые выявленной </w:t>
      </w:r>
      <w:r>
        <w:t>ММ</w:t>
      </w:r>
      <w:r w:rsidR="00FA25F5">
        <w:t xml:space="preserve">, а также при </w:t>
      </w:r>
      <w:r w:rsidR="00455673">
        <w:t>1</w:t>
      </w:r>
      <w:r w:rsidR="00FA25F5">
        <w:t xml:space="preserve"> и </w:t>
      </w:r>
      <w:r w:rsidR="00455673">
        <w:t>2-</w:t>
      </w:r>
      <w:r w:rsidR="00FA25F5">
        <w:t>м рецидив</w:t>
      </w:r>
      <w:r w:rsidR="00455673">
        <w:t>ах</w:t>
      </w:r>
      <w:r w:rsidR="00833D44">
        <w:t xml:space="preserve"> </w:t>
      </w:r>
      <w:r w:rsidRPr="0047173E">
        <w:rPr>
          <w:b/>
        </w:rPr>
        <w:t>рекомендуется</w:t>
      </w:r>
      <w:r>
        <w:t xml:space="preserve"> выполнить </w:t>
      </w:r>
      <w:r w:rsidR="006F0E70">
        <w:t>ц</w:t>
      </w:r>
      <w:r w:rsidR="006F0E70" w:rsidRPr="00F65899">
        <w:rPr>
          <w:rFonts w:eastAsia="Times New Roman"/>
        </w:rPr>
        <w:t xml:space="preserve">итогенетическое исследование </w:t>
      </w:r>
      <w:r w:rsidR="00455673">
        <w:rPr>
          <w:rFonts w:eastAsia="Times New Roman"/>
        </w:rPr>
        <w:t>ПК</w:t>
      </w:r>
      <w:r w:rsidR="006F0E70" w:rsidRPr="00F65899">
        <w:rPr>
          <w:rFonts w:eastAsia="Times New Roman"/>
        </w:rPr>
        <w:t xml:space="preserve"> (кариотипирование и </w:t>
      </w:r>
      <w:r w:rsidR="006F0E70" w:rsidRPr="00F65899">
        <w:rPr>
          <w:rFonts w:eastAsia="Times New Roman"/>
          <w:lang w:val="en-US"/>
        </w:rPr>
        <w:t>FISH</w:t>
      </w:r>
      <w:r w:rsidR="006F0E70" w:rsidRPr="00F65899">
        <w:rPr>
          <w:rFonts w:eastAsia="Times New Roman"/>
        </w:rPr>
        <w:t xml:space="preserve">) для выявления наиболее </w:t>
      </w:r>
      <w:r w:rsidR="0012713C">
        <w:rPr>
          <w:rFonts w:eastAsia="Times New Roman"/>
        </w:rPr>
        <w:t xml:space="preserve">прогностически </w:t>
      </w:r>
      <w:r w:rsidR="006F0E70" w:rsidRPr="00F65899">
        <w:rPr>
          <w:rFonts w:eastAsia="Times New Roman"/>
        </w:rPr>
        <w:t>важных цитогенетических аномалий:</w:t>
      </w:r>
      <w:r w:rsidR="0012713C">
        <w:rPr>
          <w:rFonts w:eastAsia="Times New Roman"/>
        </w:rPr>
        <w:t xml:space="preserve"> </w:t>
      </w:r>
      <w:r w:rsidR="006F0E70" w:rsidRPr="00F65899">
        <w:rPr>
          <w:rFonts w:eastAsia="Times New Roman"/>
          <w:lang w:val="en-US"/>
        </w:rPr>
        <w:t>t</w:t>
      </w:r>
      <w:r w:rsidR="006F0E70" w:rsidRPr="00F65899">
        <w:rPr>
          <w:rFonts w:eastAsia="Times New Roman"/>
        </w:rPr>
        <w:t xml:space="preserve">(4;14), </w:t>
      </w:r>
      <w:r w:rsidR="006F0E70" w:rsidRPr="00F65899">
        <w:rPr>
          <w:rFonts w:eastAsia="Times New Roman"/>
          <w:lang w:val="en-US"/>
        </w:rPr>
        <w:t>t</w:t>
      </w:r>
      <w:r w:rsidR="006F0E70" w:rsidRPr="00F65899">
        <w:rPr>
          <w:rFonts w:eastAsia="Times New Roman"/>
        </w:rPr>
        <w:t xml:space="preserve">(14;16), </w:t>
      </w:r>
      <w:r w:rsidR="0012713C">
        <w:rPr>
          <w:rFonts w:eastAsia="Times New Roman"/>
          <w:lang w:val="en-US"/>
        </w:rPr>
        <w:t>t</w:t>
      </w:r>
      <w:r w:rsidR="0012713C" w:rsidRPr="0012713C">
        <w:rPr>
          <w:rFonts w:eastAsia="Times New Roman"/>
        </w:rPr>
        <w:t>(6</w:t>
      </w:r>
      <w:r w:rsidR="0012713C">
        <w:rPr>
          <w:rFonts w:eastAsia="Times New Roman"/>
        </w:rPr>
        <w:t xml:space="preserve">;14), </w:t>
      </w:r>
      <w:r w:rsidR="006F0E70" w:rsidRPr="00F65899">
        <w:rPr>
          <w:rFonts w:eastAsia="Times New Roman"/>
          <w:lang w:val="en-US"/>
        </w:rPr>
        <w:t>del</w:t>
      </w:r>
      <w:r w:rsidR="006F0E70">
        <w:rPr>
          <w:rFonts w:eastAsia="Times New Roman"/>
        </w:rPr>
        <w:t> </w:t>
      </w:r>
      <w:r w:rsidR="006F0E70" w:rsidRPr="00F65899">
        <w:rPr>
          <w:rFonts w:eastAsia="Times New Roman"/>
        </w:rPr>
        <w:t>17</w:t>
      </w:r>
      <w:r w:rsidR="006F0E70" w:rsidRPr="00F65899">
        <w:rPr>
          <w:rFonts w:eastAsia="Times New Roman"/>
          <w:lang w:val="en-US"/>
        </w:rPr>
        <w:t>p</w:t>
      </w:r>
      <w:r w:rsidR="006F0E70" w:rsidRPr="00F65899">
        <w:rPr>
          <w:rFonts w:eastAsia="Times New Roman"/>
        </w:rPr>
        <w:t>13</w:t>
      </w:r>
      <w:r w:rsidR="0012713C">
        <w:rPr>
          <w:rFonts w:eastAsia="Times New Roman"/>
        </w:rPr>
        <w:t xml:space="preserve">, </w:t>
      </w:r>
      <w:r w:rsidR="0012713C">
        <w:rPr>
          <w:rFonts w:eastAsia="Times New Roman"/>
          <w:lang w:val="en-US"/>
        </w:rPr>
        <w:t>t</w:t>
      </w:r>
      <w:r w:rsidR="0012713C" w:rsidRPr="0012713C">
        <w:rPr>
          <w:rFonts w:eastAsia="Times New Roman"/>
        </w:rPr>
        <w:t>(11;14)</w:t>
      </w:r>
      <w:r w:rsidR="00807232" w:rsidRPr="00807232">
        <w:rPr>
          <w:rFonts w:eastAsia="Times New Roman"/>
        </w:rPr>
        <w:t xml:space="preserve">, </w:t>
      </w:r>
      <w:r w:rsidR="00807232">
        <w:rPr>
          <w:rFonts w:eastAsia="Times New Roman"/>
          <w:lang w:val="en-US"/>
        </w:rPr>
        <w:t>del</w:t>
      </w:r>
      <w:r w:rsidR="00807232" w:rsidRPr="00807232">
        <w:rPr>
          <w:rFonts w:eastAsia="Times New Roman"/>
        </w:rPr>
        <w:t xml:space="preserve">13, </w:t>
      </w:r>
      <w:r w:rsidR="00807232">
        <w:rPr>
          <w:rFonts w:eastAsia="Times New Roman"/>
        </w:rPr>
        <w:t>плоидност</w:t>
      </w:r>
      <w:r w:rsidR="00987A29">
        <w:rPr>
          <w:rFonts w:eastAsia="Times New Roman"/>
        </w:rPr>
        <w:t>и</w:t>
      </w:r>
      <w:r w:rsidR="00807232">
        <w:rPr>
          <w:rFonts w:eastAsia="Times New Roman"/>
        </w:rPr>
        <w:t xml:space="preserve"> и изменени</w:t>
      </w:r>
      <w:r w:rsidR="00987A29">
        <w:rPr>
          <w:rFonts w:eastAsia="Times New Roman"/>
        </w:rPr>
        <w:t>й</w:t>
      </w:r>
      <w:r w:rsidR="00807232">
        <w:rPr>
          <w:rFonts w:eastAsia="Times New Roman"/>
        </w:rPr>
        <w:t xml:space="preserve"> хромосомы 1</w:t>
      </w:r>
      <w:r w:rsidR="008E3216">
        <w:rPr>
          <w:rFonts w:eastAsia="Times New Roman"/>
        </w:rPr>
        <w:t xml:space="preserve"> </w:t>
      </w:r>
      <w:r w:rsidR="00A96FB6">
        <w:rPr>
          <w:rFonts w:eastAsia="Times New Roman"/>
        </w:rPr>
        <w:fldChar w:fldCharType="begin" w:fldLock="1"/>
      </w:r>
      <w:r w:rsidR="00344A76">
        <w:rPr>
          <w:rFonts w:eastAsia="Times New Roman"/>
        </w:rPr>
        <w:instrText>ADDIN CSL_CITATION {"citationItems":[{"id":"ITEM-1","itemData":{"DOI":"10.1200/JCO.2015.61.2267","ISSN":"15277755","abstract":"PURPOSE The clinical outcome of multiple myeloma (MM) is heterogeneous. A simple and reliable tool is needed to stratify patients with MM. We combined the International Staging System (ISS) with chromosomal abnormalities (CA) detected by interphase fluorescent in situ hybridization after CD138 plasma cell purification and serum lactate dehydrogenase (LDH) to evaluate their prognostic value in newly diagnosed MM (NDMM). PATIENTS AND METHODS Clinical and laboratory data from 4,445 patients with NDMM enrolled onto 11 international trials were pooled together. The K-adaptive partitioning algorithm was used to define the most appropriate subgroups with homogeneous survival. RESULTS ISS, CA, and LDH data were simultaneously available in 3,060 of 4,445 patients. We defined the following three groups: revised ISS (R-ISS) I (n = 871), including ISS stage I (serum β2-microglobulin level &lt; 3.5 mg/L and serum albumin level ≥ 3.5 g/dL), no high-risk CA [del(17p) and/or t(4;14) and/or t(14;16)], and normal LDH level (less than the upper limit of normal range); R-ISS III (n = 295), including ISS stage III (serum β2-microglobulin level &gt; 5.5 mg/L) and high-risk CA or high LDH level; and R-ISS II (n = 1,894), including all the other possible combinations. At a median follow-up of 46 months, the 5-year OS rate was 82% in the R-ISS I, 62% in the R-ISS II, and 40% in the R-ISS III groups; the 5-year PFS rates were 55%, 36%, and 24%, respectively. CONCLUSION The R-ISS is a simple and powerful prognostic staging system, and we recommend its use in future clinical studies to stratify patients with NDMM effectively with respect to the relative risk to their survival.","author":[{"dropping-particle":"","family":"Palumbo","given":"Antonio","non-dropping-particle":"","parse-names":false,"suffix":""},{"dropping-particle":"","family":"Avet-Loiseau","given":"Hervé","non-dropping-particle":"","parse-names":false,"suffix":""},{"dropping-particle":"","family":"Oliva","given":"Stefania","non-dropping-particle":"","parse-names":false,"suffix":""},{"dropping-particle":"","family":"Lokhorst","given":"Henk M.","non-dropping-particle":"","parse-names":false,"suffix":""},{"dropping-particle":"","family":"Goldschmidt","given":"Hartmut","non-dropping-particle":"","parse-names":false,"suffix":""},{"dropping-particle":"","family":"Rosinol","given":"Laura","non-dropping-particle":"","parse-names":false,"suffix":""},{"dropping-particle":"","family":"Richardson","given":"Paul","non-dropping-particle":"","parse-names":false,"suffix":""},{"dropping-particle":"","family":"Caltagirone","given":"Simona","non-dropping-particle":"","parse-names":false,"suffix":""},{"dropping-particle":"","family":"Lahuerta","given":"Juan José","non-dropping-particle":"","parse-names":false,"suffix":""},{"dropping-particle":"","family":"Facon","given":"Thierry","non-dropping-particle":"","parse-names":false,"suffix":""},{"dropping-particle":"","family":"Bringhen","given":"Sara","non-dropping-particle":"","parse-names":false,"suffix":""},{"dropping-particle":"","family":"Gay","given":"Francesca","non-dropping-particle":"","parse-names":false,"suffix":""},{"dropping-particle":"","family":"Attal","given":"Michel","non-dropping-particle":"","parse-names":false,"suffix":""},{"dropping-particle":"","family":"Passera","given":"Roberto","non-dropping-particle":"","parse-names":false,"suffix":""},{"dropping-particle":"","family":"Spencer","given":"Andrew","non-dropping-particle":"","parse-names":false,"suffix":""},{"dropping-particle":"","family":"Offidani","given":"Massimo","non-dropping-particle":"","parse-names":false,"suffix":""},{"dropping-particle":"","family":"Kumar","given":"Shaji","non-dropping-particle":"","parse-names":false,"suffix":""},{"dropping-particle":"","family":"Musto","given":"Pellegrino","non-dropping-particle":"","parse-names":false,"suffix":""},{"dropping-particle":"","family":"Lonial","given":"Sagar","non-dropping-particle":"","parse-names":false,"suffix":""},{"dropping-particle":"","family":"Petrucci","given":"Maria T.","non-dropping-particle":"","parse-names":false,"suffix":""},{"dropping-particle":"","family":"Orlowski","given":"Robert Z.","non-dropping-particle":"","parse-names":false,"suffix":""},{"dropping-particle":"","family":"Zamagni","given":"Elena","non-dropping-particle":"","parse-names":false,"suffix":""},{"dropping-particle":"","family":"Morgan","given":"Gareth","non-dropping-particle":"","parse-names":false,"suffix":""},{"dropping-particle":"","family":"Dimopoulos","given":"Meletios A.","non-dropping-particle":"","parse-names":false,"suffix":""},{"dropping-particle":"","family":"Durie","given":"Brian G.M.","non-dropping-particle":"","parse-names":false,"suffix":""},{"dropping-particle":"","family":"Anderson","given":"Kenneth C.","non-dropping-particle":"","parse-names":false,"suffix":""},{"dropping-particle":"","family":"Sonneveld","given":"Pieter","non-dropping-particle":"","parse-names":false,"suffix":""},{"dropping-particle":"","family":"Miguel","given":"Jésus San","non-dropping-particle":"","parse-names":false,"suffix":""},{"dropping-particle":"","family":"Cavo","given":"Michele","non-dropping-particle":"","parse-names":false,"suffix":""},{"dropping-particle":"","family":"Rajkumar","given":"S. Vincent","non-dropping-particle":"","parse-names":false,"suffix":""},{"dropping-particle":"","family":"Moreau","given":"Philippe","non-dropping-particle":"","parse-names":false,"suffix":""}],"container-title":"Journal of Clinical Oncology","id":"ITEM-1","issue":"26","issued":{"date-parts":[["2015"]]},"page":"2863-2869","publisher":"American Society of Clinical Oncology","title":"Revised international staging system for multiple myeloma: A report from international myeloma working group","type":"article-journal","volume":"33"},"uris":["http://www.mendeley.com/documents/?uuid=dc5fa189-ca83-351a-8e2c-68a7d7d762af"]}],"mendeley":{"formattedCitation":"[13]","plainTextFormattedCitation":"[13]","previouslyFormattedCitation":"[13]"},"properties":{"noteIndex":0},"schema":"https://github.com/citation-style-language/schema/raw/master/csl-citation.json"}</w:instrText>
      </w:r>
      <w:r w:rsidR="00A96FB6">
        <w:rPr>
          <w:rFonts w:eastAsia="Times New Roman"/>
        </w:rPr>
        <w:fldChar w:fldCharType="separate"/>
      </w:r>
      <w:r w:rsidR="008E3216" w:rsidRPr="008E3216">
        <w:rPr>
          <w:rFonts w:eastAsia="Times New Roman"/>
          <w:noProof/>
        </w:rPr>
        <w:t>[13]</w:t>
      </w:r>
      <w:r w:rsidR="00A96FB6">
        <w:rPr>
          <w:rFonts w:eastAsia="Times New Roman"/>
        </w:rPr>
        <w:fldChar w:fldCharType="end"/>
      </w:r>
      <w:r>
        <w:t>.</w:t>
      </w:r>
    </w:p>
    <w:p w:rsidR="00AE5CC8" w:rsidRPr="00741B6B" w:rsidRDefault="00AE5CC8" w:rsidP="00131E36">
      <w:pPr>
        <w:spacing w:before="0" w:after="0"/>
        <w:ind w:left="709"/>
        <w:contextualSpacing/>
        <w:rPr>
          <w:b/>
        </w:rPr>
      </w:pPr>
      <w:r w:rsidRPr="00741B6B">
        <w:rPr>
          <w:b/>
        </w:rPr>
        <w:t xml:space="preserve">Уровень убедительности рекомендаций </w:t>
      </w:r>
      <w:r w:rsidR="00987A29">
        <w:rPr>
          <w:b/>
        </w:rPr>
        <w:t xml:space="preserve">− </w:t>
      </w:r>
      <w:r w:rsidR="006A50CD">
        <w:rPr>
          <w:b/>
        </w:rPr>
        <w:t>С</w:t>
      </w:r>
      <w:r w:rsidR="006A50CD" w:rsidRPr="00741B6B">
        <w:rPr>
          <w:b/>
        </w:rPr>
        <w:t xml:space="preserve"> </w:t>
      </w:r>
      <w:r w:rsidRPr="00741B6B">
        <w:rPr>
          <w:b/>
        </w:rPr>
        <w:t xml:space="preserve">(уровень достоверности доказательств </w:t>
      </w:r>
      <w:r w:rsidR="00987A29">
        <w:rPr>
          <w:b/>
        </w:rPr>
        <w:t xml:space="preserve">− </w:t>
      </w:r>
      <w:r w:rsidR="006A50CD">
        <w:rPr>
          <w:b/>
        </w:rPr>
        <w:t>4</w:t>
      </w:r>
      <w:r w:rsidRPr="00741B6B">
        <w:rPr>
          <w:b/>
        </w:rPr>
        <w:t>)</w:t>
      </w:r>
    </w:p>
    <w:p w:rsidR="004D7374" w:rsidRDefault="004D7374" w:rsidP="00131E36">
      <w:pPr>
        <w:spacing w:before="0" w:after="0"/>
        <w:ind w:left="709"/>
        <w:rPr>
          <w:rFonts w:eastAsia="Times New Roman"/>
          <w:i/>
        </w:rPr>
      </w:pPr>
      <w:r w:rsidRPr="00741B6B">
        <w:rPr>
          <w:b/>
        </w:rPr>
        <w:t>Комментари</w:t>
      </w:r>
      <w:r w:rsidR="00987A29">
        <w:rPr>
          <w:b/>
        </w:rPr>
        <w:t>й</w:t>
      </w:r>
      <w:r w:rsidRPr="00741B6B">
        <w:rPr>
          <w:b/>
        </w:rPr>
        <w:t>:</w:t>
      </w:r>
      <w:r w:rsidR="008E3216">
        <w:rPr>
          <w:b/>
        </w:rPr>
        <w:t xml:space="preserve"> </w:t>
      </w:r>
      <w:r w:rsidR="008E3216" w:rsidRPr="006F0E70">
        <w:rPr>
          <w:rFonts w:eastAsia="Times New Roman"/>
          <w:i/>
        </w:rPr>
        <w:t xml:space="preserve">мутации </w:t>
      </w:r>
      <w:r w:rsidR="006F0E70" w:rsidRPr="006F0E70">
        <w:rPr>
          <w:rFonts w:eastAsia="Times New Roman"/>
          <w:i/>
          <w:lang w:val="en-US"/>
        </w:rPr>
        <w:t>t</w:t>
      </w:r>
      <w:r w:rsidR="006F0E70" w:rsidRPr="006F0E70">
        <w:rPr>
          <w:rFonts w:eastAsia="Times New Roman"/>
          <w:i/>
        </w:rPr>
        <w:t xml:space="preserve">(4;14), </w:t>
      </w:r>
      <w:r w:rsidR="006F0E70" w:rsidRPr="006F0E70">
        <w:rPr>
          <w:rFonts w:eastAsia="Times New Roman"/>
          <w:i/>
          <w:lang w:val="en-US"/>
        </w:rPr>
        <w:t>t</w:t>
      </w:r>
      <w:r w:rsidR="006F0E70" w:rsidRPr="006F0E70">
        <w:rPr>
          <w:rFonts w:eastAsia="Times New Roman"/>
          <w:i/>
        </w:rPr>
        <w:t xml:space="preserve">(14;16) и </w:t>
      </w:r>
      <w:r w:rsidR="006F0E70" w:rsidRPr="006F0E70">
        <w:rPr>
          <w:rFonts w:eastAsia="Times New Roman"/>
          <w:i/>
          <w:lang w:val="en-US"/>
        </w:rPr>
        <w:t>del</w:t>
      </w:r>
      <w:r w:rsidR="006F0E70" w:rsidRPr="006F0E70">
        <w:rPr>
          <w:rFonts w:eastAsia="Times New Roman"/>
          <w:i/>
        </w:rPr>
        <w:t>17</w:t>
      </w:r>
      <w:r w:rsidR="006F0E70" w:rsidRPr="006F0E70">
        <w:rPr>
          <w:rFonts w:eastAsia="Times New Roman"/>
          <w:i/>
          <w:lang w:val="en-US"/>
        </w:rPr>
        <w:t>p</w:t>
      </w:r>
      <w:r w:rsidR="006F0E70" w:rsidRPr="006F0E70">
        <w:rPr>
          <w:rFonts w:eastAsia="Times New Roman"/>
          <w:i/>
        </w:rPr>
        <w:t xml:space="preserve"> включены в пересмотренную систему стадирования ММ </w:t>
      </w:r>
      <w:r w:rsidR="006F0E70" w:rsidRPr="006F0E70">
        <w:rPr>
          <w:rFonts w:eastAsia="Times New Roman"/>
          <w:i/>
          <w:lang w:val="en-US"/>
        </w:rPr>
        <w:t>R</w:t>
      </w:r>
      <w:r w:rsidR="006F0E70" w:rsidRPr="006F0E70">
        <w:rPr>
          <w:rFonts w:eastAsia="Times New Roman"/>
          <w:i/>
        </w:rPr>
        <w:t>-</w:t>
      </w:r>
      <w:r w:rsidR="006F0E70" w:rsidRPr="006F0E70">
        <w:rPr>
          <w:rFonts w:eastAsia="Times New Roman"/>
          <w:i/>
          <w:lang w:val="en-US"/>
        </w:rPr>
        <w:t>ISS</w:t>
      </w:r>
      <w:r w:rsidR="006F0E70" w:rsidRPr="006F0E70">
        <w:rPr>
          <w:rFonts w:eastAsia="Times New Roman"/>
          <w:i/>
        </w:rPr>
        <w:t xml:space="preserve"> как относящиеся к высокому риску, поэтому они должны оцениваться у всех </w:t>
      </w:r>
      <w:r w:rsidR="00FB03BB" w:rsidRPr="00FB03BB">
        <w:rPr>
          <w:rFonts w:eastAsia="Times New Roman"/>
          <w:i/>
        </w:rPr>
        <w:t>пациентов</w:t>
      </w:r>
      <w:r w:rsidR="006F0E70" w:rsidRPr="006F0E70">
        <w:rPr>
          <w:rFonts w:eastAsia="Times New Roman"/>
          <w:i/>
        </w:rPr>
        <w:t xml:space="preserve"> ММ при установлении диагноза.</w:t>
      </w:r>
    </w:p>
    <w:p w:rsidR="004D7374" w:rsidRPr="00971A8A" w:rsidRDefault="004D7374" w:rsidP="00E36DFA">
      <w:pPr>
        <w:pStyle w:val="2"/>
      </w:pPr>
      <w:bookmarkStart w:id="19" w:name="_Toc24826811"/>
      <w:r w:rsidRPr="00971A8A">
        <w:t>2.4 Инструментальн</w:t>
      </w:r>
      <w:r w:rsidR="00B255C9" w:rsidRPr="00971A8A">
        <w:t>ые диагностические исследования</w:t>
      </w:r>
      <w:bookmarkEnd w:id="19"/>
    </w:p>
    <w:p w:rsidR="004D7374" w:rsidRPr="00BE169C" w:rsidRDefault="004D7374" w:rsidP="00131E36">
      <w:pPr>
        <w:pStyle w:val="a5"/>
        <w:numPr>
          <w:ilvl w:val="0"/>
          <w:numId w:val="3"/>
        </w:numPr>
        <w:spacing w:before="0" w:after="0"/>
        <w:ind w:left="709" w:hanging="709"/>
      </w:pPr>
      <w:r w:rsidRPr="00BE169C">
        <w:t xml:space="preserve">Всем пациентам при установке диагноза </w:t>
      </w:r>
      <w:r w:rsidR="00503339" w:rsidRPr="00BE169C">
        <w:t>ММ</w:t>
      </w:r>
      <w:r w:rsidRPr="00BE169C">
        <w:t xml:space="preserve">, перед началом терапии, при оценке </w:t>
      </w:r>
      <w:r w:rsidR="00D426A3" w:rsidRPr="00BE169C">
        <w:t>эффекта терапии,</w:t>
      </w:r>
      <w:r w:rsidR="00833D44">
        <w:t xml:space="preserve"> </w:t>
      </w:r>
      <w:r w:rsidRPr="00BE169C">
        <w:t xml:space="preserve">а также при подозрении на рецидив заболевания </w:t>
      </w:r>
      <w:r w:rsidRPr="00BE169C">
        <w:rPr>
          <w:b/>
        </w:rPr>
        <w:t>рекомендуется</w:t>
      </w:r>
      <w:r w:rsidR="00833D44">
        <w:rPr>
          <w:b/>
        </w:rPr>
        <w:t xml:space="preserve"> </w:t>
      </w:r>
      <w:r w:rsidR="007F557E">
        <w:t xml:space="preserve">выполнить </w:t>
      </w:r>
      <w:r w:rsidR="00987A29">
        <w:t>КТ</w:t>
      </w:r>
      <w:r w:rsidR="000143AC" w:rsidRPr="00BE169C">
        <w:t xml:space="preserve"> всех отделов позвоночника, грудной клетки, таза (предпочтение отдается низкодозной </w:t>
      </w:r>
      <w:r w:rsidR="00987A29">
        <w:t>КТ</w:t>
      </w:r>
      <w:r w:rsidR="000143AC" w:rsidRPr="00BE169C">
        <w:t xml:space="preserve"> всего скелета) </w:t>
      </w:r>
      <w:r w:rsidRPr="00BE169C">
        <w:t xml:space="preserve">для уточнения наличия и распространенности </w:t>
      </w:r>
      <w:r w:rsidR="00CB1D3A" w:rsidRPr="00BE169C">
        <w:t>поражения костей</w:t>
      </w:r>
      <w:r w:rsidR="000143AC" w:rsidRPr="00BE169C">
        <w:t>, выявления костных плазмоцитом с определением их размеров</w:t>
      </w:r>
      <w:r w:rsidR="00344A76">
        <w:t xml:space="preserve">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миелома","type":"chapter"},"uris":["http://www.mendeley.com/documents/?uuid=74f72d23-d025-4daa-a02d-40d14fc77cc4"]},{"id":"ITEM-2","itemData":{"DOI":"10.1158/1078-0432.CCR-14-1692","ISSN":"15573265","abstract":"© 2014 AACR. Detection of lytic bone lesions is crucial in the workup for multiple myeloma and very often dictates the decision to start treatment. Conventional radiography, despite decades of use, is often insufficient for detection of bone disease in multiple myeloma. Modern imaging techniques such as MRI, PET, and CT offer superior detection of myeloma bone disease and extramedullary manifestations of plasma cell dyscrasias. Novel whole-body low-dose computed tomography (WBLDCT) protocols allow for collection of superior image detail of the skeleton at doses of radiation similar to those used for conventional planar radiography. Several studies have shown that WBLDCT has a superior detection rate for lytic bone lesions compared with whole-body X-ray (WBXR), potentially leading to restaging and changes in therapy. MRI and PET provide imaging data important for assessing disease activity and prognostication. Because of several advantages over WBXR, WBLDCT is already the standard imaging technique for use in patients with multiple myeloma in many European institutions. However, the radiographic skeletal survey or WBXR is still the initial study of choice used to screen for myeloma bone disease in many institutions. In this review, we aim to explore the changing landscape of imaging for myeloma bone disease through use of modern imaging techniques.","author":[{"dropping-particle":"","family":"Pianko","given":"Matthew J.","non-dropping-particle":"","parse-names":false,"suffix":""},{"dropping-particle":"","family":"Terpos","given":"Evangelos","non-dropping-particle":"","parse-names":false,"suffix":""},{"dropping-particle":"","family":"Roodman","given":"G. David","non-dropping-particle":"","parse-names":false,"suffix":""},{"dropping-particle":"","family":"Divgi","given":"Chaitanya R.","non-dropping-particle":"","parse-names":false,"suffix":""},{"dropping-particle":"","family":"Zweegman","given":"Sonja","non-dropping-particle":"","parse-names":false,"suffix":""},{"dropping-particle":"","family":"Hillengass","given":"Jens","non-dropping-particle":"","parse-names":false,"suffix":""},{"dropping-particle":"","family":"Lentzsch","given":"Suzanne","non-dropping-particle":"","parse-names":false,"suffix":""}],"container-title":"Clinical Cancer Research","id":"ITEM-2","issue":"23","issued":{"date-parts":[["2014","12","1"]]},"page":"5888-5897","publisher":"American Association for Cancer Research Inc.","title":"Whole-body low-dose computed tomography and advanced imaging techniques for multiple myeloma bone disease","type":"article","volume":"20"},"uris":["http://www.mendeley.com/documents/?uuid=4ff9e16f-4fa9-3264-9e0c-e3e7902eb365"]}],"mendeley":{"formattedCitation":"[1,23]","plainTextFormattedCitation":"[1,23]","previouslyFormattedCitation":"[1,23]"},"properties":{"noteIndex":0},"schema":"https://github.com/citation-style-language/schema/raw/master/csl-citation.json"}</w:instrText>
      </w:r>
      <w:r w:rsidR="00A96FB6">
        <w:fldChar w:fldCharType="separate"/>
      </w:r>
      <w:r w:rsidR="000D22CF" w:rsidRPr="000D22CF">
        <w:rPr>
          <w:noProof/>
        </w:rPr>
        <w:t>[1,23]</w:t>
      </w:r>
      <w:r w:rsidR="00A96FB6">
        <w:fldChar w:fldCharType="end"/>
      </w:r>
      <w:r w:rsidR="00741B6B" w:rsidRPr="00BE169C">
        <w:t>.</w:t>
      </w:r>
    </w:p>
    <w:p w:rsidR="004D7374" w:rsidRDefault="004D7374" w:rsidP="00131E36">
      <w:pPr>
        <w:spacing w:before="0" w:after="0"/>
        <w:ind w:left="709"/>
        <w:contextualSpacing/>
        <w:rPr>
          <w:b/>
        </w:rPr>
      </w:pPr>
      <w:r w:rsidRPr="00741B6B">
        <w:rPr>
          <w:b/>
        </w:rPr>
        <w:t xml:space="preserve">Уровень убедительности рекомендаций </w:t>
      </w:r>
      <w:r w:rsidR="00E62084">
        <w:rPr>
          <w:b/>
        </w:rPr>
        <w:t xml:space="preserve">− </w:t>
      </w:r>
      <w:r w:rsidR="003C65DB">
        <w:rPr>
          <w:b/>
        </w:rPr>
        <w:t>С</w:t>
      </w:r>
      <w:r w:rsidRPr="00741B6B">
        <w:rPr>
          <w:b/>
        </w:rPr>
        <w:t xml:space="preserve"> (уровень достоверности доказательств </w:t>
      </w:r>
      <w:r w:rsidR="00E62084">
        <w:rPr>
          <w:b/>
        </w:rPr>
        <w:t xml:space="preserve">− </w:t>
      </w:r>
      <w:r w:rsidR="003C65DB">
        <w:rPr>
          <w:b/>
        </w:rPr>
        <w:t>5</w:t>
      </w:r>
      <w:r w:rsidRPr="00741B6B">
        <w:rPr>
          <w:b/>
        </w:rPr>
        <w:t>)</w:t>
      </w:r>
    </w:p>
    <w:p w:rsidR="007F557E" w:rsidRDefault="007F557E" w:rsidP="00131E36">
      <w:pPr>
        <w:pStyle w:val="a5"/>
        <w:numPr>
          <w:ilvl w:val="0"/>
          <w:numId w:val="3"/>
        </w:numPr>
        <w:spacing w:before="0" w:after="0"/>
        <w:ind w:left="709" w:hanging="709"/>
      </w:pPr>
      <w:r w:rsidRPr="00BE169C">
        <w:t>Всем пациентам при установке диагноза ММ перед началом терапии, при оценке эффекта терапии, а также при подозрении на рецидив заболевания</w:t>
      </w:r>
      <w:r>
        <w:t xml:space="preserve"> при невозможности выполнить </w:t>
      </w:r>
      <w:r w:rsidR="00E62084">
        <w:t>КТ</w:t>
      </w:r>
      <w:r w:rsidR="0075099C">
        <w:t xml:space="preserve"> </w:t>
      </w:r>
      <w:r w:rsidRPr="00BE169C">
        <w:rPr>
          <w:b/>
        </w:rPr>
        <w:t>рекомендуется</w:t>
      </w:r>
      <w:r w:rsidRPr="00BE169C">
        <w:t xml:space="preserve"> выполнить рентгенологическое исследование костей: рентгенографию (включая череп, грудную клетку, все отделы позвоночника, таз, плечевые и бедренные кости) для уточнения наличия и распространенности поражения костей</w:t>
      </w:r>
      <w:r w:rsidR="00344A76" w:rsidRPr="00344A76">
        <w:t xml:space="preserve"> </w:t>
      </w:r>
      <w:r w:rsidR="00A96FB6">
        <w:fldChar w:fldCharType="begin" w:fldLock="1"/>
      </w:r>
      <w:r w:rsidR="00344A76">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344A76" w:rsidRPr="00344A76">
        <w:rPr>
          <w:noProof/>
        </w:rPr>
        <w:t>[1]</w:t>
      </w:r>
      <w:r w:rsidR="00A96FB6">
        <w:fldChar w:fldCharType="end"/>
      </w:r>
      <w:r w:rsidRPr="00BE169C">
        <w:t>.</w:t>
      </w:r>
    </w:p>
    <w:p w:rsidR="00344A76" w:rsidRDefault="00344A76" w:rsidP="00344A76">
      <w:pPr>
        <w:pStyle w:val="a5"/>
        <w:spacing w:before="0" w:after="0"/>
        <w:ind w:left="709"/>
        <w:rPr>
          <w:b/>
        </w:rPr>
      </w:pPr>
      <w:r w:rsidRPr="00741B6B">
        <w:rPr>
          <w:b/>
        </w:rPr>
        <w:t xml:space="preserve">Уровень убедительности рекомендаций </w:t>
      </w:r>
      <w:r w:rsidR="00E62084">
        <w:rPr>
          <w:b/>
        </w:rPr>
        <w:t xml:space="preserve">− </w:t>
      </w:r>
      <w:r>
        <w:rPr>
          <w:b/>
        </w:rPr>
        <w:t>С</w:t>
      </w:r>
      <w:r w:rsidRPr="00741B6B">
        <w:rPr>
          <w:b/>
        </w:rPr>
        <w:t xml:space="preserve"> (уровень достоверности доказательств </w:t>
      </w:r>
      <w:r w:rsidR="00E62084">
        <w:rPr>
          <w:b/>
        </w:rPr>
        <w:t xml:space="preserve">− </w:t>
      </w:r>
      <w:r>
        <w:rPr>
          <w:b/>
        </w:rPr>
        <w:t>5</w:t>
      </w:r>
      <w:r w:rsidRPr="00741B6B">
        <w:rPr>
          <w:b/>
        </w:rPr>
        <w:t>)</w:t>
      </w:r>
    </w:p>
    <w:p w:rsidR="0075099C" w:rsidRPr="00A936BF" w:rsidRDefault="0075099C" w:rsidP="00344A76">
      <w:pPr>
        <w:pStyle w:val="a5"/>
        <w:numPr>
          <w:ilvl w:val="0"/>
          <w:numId w:val="3"/>
        </w:numPr>
        <w:spacing w:before="0" w:after="0"/>
        <w:ind w:left="709"/>
      </w:pPr>
      <w:r w:rsidRPr="0075099C">
        <w:t xml:space="preserve">Всем пациентам при установке диагноза ММ перед началом терапии, при оценке эффекта терапии, а также при подозрении на рецидив заболевания </w:t>
      </w:r>
      <w:r w:rsidR="00411E0C">
        <w:t>в качестве</w:t>
      </w:r>
      <w:r>
        <w:t xml:space="preserve"> альтернатив</w:t>
      </w:r>
      <w:r w:rsidR="00411E0C">
        <w:t>ы</w:t>
      </w:r>
      <w:r>
        <w:t xml:space="preserve"> </w:t>
      </w:r>
      <w:r w:rsidR="00411E0C">
        <w:t>КТ</w:t>
      </w:r>
      <w:r>
        <w:t xml:space="preserve"> </w:t>
      </w:r>
      <w:r w:rsidRPr="0075099C">
        <w:t xml:space="preserve"> всего скелета для уточнения наличия и распространенности поражения костей, выявления костных плазмоцитом с определением их размеров</w:t>
      </w:r>
      <w:r>
        <w:t xml:space="preserve"> рекомендуется выполнить ПЭТ/КТ</w:t>
      </w:r>
      <w:r w:rsidR="00344A76" w:rsidRPr="00344A76">
        <w:t xml:space="preserve"> </w:t>
      </w:r>
      <w:r w:rsidR="00A96FB6">
        <w:fldChar w:fldCharType="begin" w:fldLock="1"/>
      </w:r>
      <w:r w:rsidR="008C5285">
        <w:instrText>ADDIN CSL_CITATION {"citationItems":[{"id":"ITEM-1","itemData":{"DOI":"10.1016/S1470-2045(17)30189-4","ISSN":"14745488","abstract":"The International Myeloma Working Group consensus aimed to provide recommendations for the optimal use of 18fluorodeoxyglucose (18F-FDG) PET/CT in patients with multiple myeloma and other plasma cell disorders, including smouldering multiple myeloma and solitary plasmacytoma. 18F-FDG PET/CT can be considered a valuable tool for the work-up of patients with both newly diagnosed and relapsed or refractory multiple myeloma because it assesses bone damage with relatively high sensitivity and specificity, and detects extramedullary sites of proliferating clonal plasma cells while providing important prognostic information. The use of 18F-FDG PET/CT is mandatory to confirm a suspected diagnosis of solitary plasmacytoma, provided that whole-body MRI is unable to be performed, and to distinguish between smouldering and active multiple myeloma, if whole-body X-ray (WBXR) is negative and whole-body MRI is unavailable. Based on the ability of 18F-FDG PET/CT to distinguish between metabolically active and inactive disease, this technique is now the preferred functional imaging modality to evaluate and to monitor the effect of therapy on myeloma-cell metabolism. Changes in FDG avidity can provide an earlier evaluation of response to therapy compared to MRI scans, and can predict outcomes, particularly for patients who are eligible to receive autologous stem-cell transplantation. 18F-FDG PET/CT can be coupled with sensitive bone marrow-based techniques to detect minimal residual disease (MRD) inside and outside the bone marrow, helping to identify those patients who are defined as having imaging MRD negativity.","author":[{"dropping-particle":"","family":"Cavo","given":"Michele","non-dropping-particle":"","parse-names":false,"suffix":""},{"dropping-particle":"","family":"Terpos","given":"Evangelos","non-dropping-particle":"","parse-names":false,"suffix":""},{"dropping-particle":"","family":"Nanni","given":"Cristina","non-dropping-particle":"","parse-names":false,"suffix":""},{"dropping-particle":"","family":"Moreau","given":"Philippe","non-dropping-particle":"","parse-names":false,"suffix":""},{"dropping-particle":"","family":"Lentzsch","given":"Suzanne","non-dropping-particle":"","parse-names":false,"suffix":""},{"dropping-particle":"","family":"Zweegman","given":"Sonja","non-dropping-particle":"","parse-names":false,"suffix":""},{"dropping-particle":"","family":"Hillengass","given":"Jens","non-dropping-particle":"","parse-names":false,"suffix":""},{"dropping-particle":"","family":"Engelhardt","given":"Monika","non-dropping-particle":"","parse-names":false,"suffix":""},{"dropping-particle":"","family":"Usmani","given":"Saad Z.","non-dropping-particle":"","parse-names":false,"suffix":""},{"dropping-particle":"","family":"Vesole","given":"David H.","non-dropping-particle":"","parse-names":false,"suffix":""},{"dropping-particle":"","family":"San-Miguel","given":"Jesus","non-dropping-particle":"","parse-names":false,"suffix":""},{"dropping-particle":"","family":"Kumar","given":"Shaji K.","non-dropping-particle":"","parse-names":false,"suffix":""},{"dropping-particle":"","family":"Richardson","given":"Paul G.","non-dropping-particle":"","parse-names":false,"suffix":""},{"dropping-particle":"","family":"Mikhael","given":"Joseph R.","non-dropping-particle":"","parse-names":false,"suffix":""},{"dropping-particle":"","family":"Costa","given":"Fernando Leal","non-dropping-particle":"da","parse-names":false,"suffix":""},{"dropping-particle":"","family":"Dimopoulos","given":"Meletios Athanassios","non-dropping-particle":"","parse-names":false,"suffix":""},{"dropping-particle":"","family":"Zingaretti","given":"Chiara","non-dropping-particle":"","parse-names":false,"suffix":""},{"dropping-particle":"","family":"Abildgaard","given":"Niels","non-dropping-particle":"","parse-names":false,"suffix":""},{"dropping-particle":"","family":"Goldschmidt","given":"Hartmut","non-dropping-particle":"","parse-names":false,"suffix":""},{"dropping-particle":"","family":"Orlowski","given":"Robert Z.","non-dropping-particle":"","parse-names":false,"suffix":""},{"dropping-particle":"","family":"Chng","given":"Wee Joo","non-dropping-particle":"","parse-names":false,"suffix":""},{"dropping-particle":"","family":"Einsele","given":"Hermann","non-dropping-particle":"","parse-names":false,"suffix":""},{"dropping-particle":"","family":"Lonial","given":"Sagar","non-dropping-particle":"","parse-names":false,"suffix":""},{"dropping-particle":"","family":"Barlogie","given":"Bart","non-dropping-particle":"","parse-names":false,"suffix":""},{"dropping-particle":"","family":"Anderson","given":"Kenneth C.","non-dropping-particle":"","parse-names":false,"suffix":""},{"dropping-particle":"","family":"Rajkumar","given":"S. Vincent","non-dropping-particle":"","parse-names":false,"suffix":""},{"dropping-particle":"","family":"Durie","given":"Brian G.M.","non-dropping-particle":"","parse-names":false,"suffix":""},{"dropping-particle":"","family":"Zamagni","given":"Elena","non-dropping-particle":"","parse-names":false,"suffix":""}],"container-title":"The Lancet Oncology","id":"ITEM-1","issue":"4","issued":{"date-parts":[["2017","4","1"]]},"page":"e206-e217","publisher":"Lancet Publishing Group","title":"Role of 18F-FDG PET/CT in the diagnosis and management of multiple myeloma and other plasma cell disorders: a consensus statement by the International Myeloma Working Group","type":"article","volume":"18"},"uris":["http://www.mendeley.com/documents/?uuid=dac9c8c9-a485-3d92-bc6b-3cf43e0d4f6b"]}],"mendeley":{"formattedCitation":"[24]","plainTextFormattedCitation":"[24]","previouslyFormattedCitation":"[24]"},"properties":{"noteIndex":0},"schema":"https://github.com/citation-style-language/schema/raw/master/csl-citation.json"}</w:instrText>
      </w:r>
      <w:r w:rsidR="00A96FB6">
        <w:fldChar w:fldCharType="separate"/>
      </w:r>
      <w:r w:rsidR="00A936BF" w:rsidRPr="00A936BF">
        <w:rPr>
          <w:noProof/>
        </w:rPr>
        <w:t>[24]</w:t>
      </w:r>
      <w:r w:rsidR="00A96FB6">
        <w:fldChar w:fldCharType="end"/>
      </w:r>
      <w:r w:rsidR="00A936BF">
        <w:rPr>
          <w:lang w:val="en-US"/>
        </w:rPr>
        <w:t>.</w:t>
      </w:r>
    </w:p>
    <w:p w:rsidR="00A936BF" w:rsidRDefault="00A936BF" w:rsidP="00A936BF">
      <w:pPr>
        <w:pStyle w:val="a5"/>
        <w:spacing w:before="0" w:after="0"/>
        <w:ind w:left="709"/>
        <w:rPr>
          <w:b/>
        </w:rPr>
      </w:pPr>
      <w:r w:rsidRPr="00741B6B">
        <w:rPr>
          <w:b/>
        </w:rPr>
        <w:lastRenderedPageBreak/>
        <w:t xml:space="preserve">Уровень убедительности рекомендаций </w:t>
      </w:r>
      <w:r w:rsidR="001F332B">
        <w:rPr>
          <w:b/>
        </w:rPr>
        <w:t xml:space="preserve">− </w:t>
      </w:r>
      <w:r>
        <w:rPr>
          <w:b/>
        </w:rPr>
        <w:t>С</w:t>
      </w:r>
      <w:r w:rsidRPr="00741B6B">
        <w:rPr>
          <w:b/>
        </w:rPr>
        <w:t xml:space="preserve"> (уровень достоверности доказательств </w:t>
      </w:r>
      <w:r w:rsidR="001F332B">
        <w:rPr>
          <w:b/>
        </w:rPr>
        <w:t xml:space="preserve">− </w:t>
      </w:r>
      <w:r>
        <w:rPr>
          <w:b/>
        </w:rPr>
        <w:t>5</w:t>
      </w:r>
      <w:r w:rsidRPr="00741B6B">
        <w:rPr>
          <w:b/>
        </w:rPr>
        <w:t>)</w:t>
      </w:r>
    </w:p>
    <w:p w:rsidR="0075099C" w:rsidRPr="00A936BF" w:rsidRDefault="0075099C" w:rsidP="00A936BF">
      <w:pPr>
        <w:pStyle w:val="a5"/>
        <w:spacing w:before="0" w:after="0"/>
        <w:ind w:left="709"/>
      </w:pPr>
      <w:r w:rsidRPr="00A936BF">
        <w:rPr>
          <w:b/>
          <w:bCs/>
          <w:iCs/>
        </w:rPr>
        <w:t>Комментари</w:t>
      </w:r>
      <w:r w:rsidR="001F332B">
        <w:rPr>
          <w:b/>
          <w:bCs/>
          <w:iCs/>
        </w:rPr>
        <w:t>й</w:t>
      </w:r>
      <w:r w:rsidRPr="00A936BF">
        <w:rPr>
          <w:b/>
          <w:bCs/>
          <w:iCs/>
        </w:rPr>
        <w:t>:</w:t>
      </w:r>
      <w:r w:rsidRPr="00A936BF">
        <w:rPr>
          <w:i/>
        </w:rPr>
        <w:t xml:space="preserve"> </w:t>
      </w:r>
      <w:r w:rsidR="00A936BF" w:rsidRPr="00A936BF">
        <w:rPr>
          <w:i/>
        </w:rPr>
        <w:t xml:space="preserve">при </w:t>
      </w:r>
      <w:r w:rsidR="00D15602" w:rsidRPr="00A936BF">
        <w:rPr>
          <w:i/>
        </w:rPr>
        <w:t xml:space="preserve">планировании этапа высокодозного лечения с поддержкой аутологичными </w:t>
      </w:r>
      <w:r w:rsidR="001F332B">
        <w:rPr>
          <w:i/>
        </w:rPr>
        <w:t>гемопоэтическими стволовыми клетками (</w:t>
      </w:r>
      <w:r w:rsidR="00746015">
        <w:rPr>
          <w:i/>
        </w:rPr>
        <w:t>ауто-Т</w:t>
      </w:r>
      <w:r w:rsidR="00D15602" w:rsidRPr="00A936BF">
        <w:rPr>
          <w:i/>
        </w:rPr>
        <w:t>ГСК</w:t>
      </w:r>
      <w:r w:rsidR="001F332B">
        <w:rPr>
          <w:i/>
        </w:rPr>
        <w:t>)</w:t>
      </w:r>
      <w:r w:rsidR="00D15602" w:rsidRPr="00A936BF">
        <w:rPr>
          <w:i/>
        </w:rPr>
        <w:t xml:space="preserve"> динамика опухолевого процесса по данным ПЭТ/КТ имеет прогностическое значение.</w:t>
      </w:r>
    </w:p>
    <w:p w:rsidR="00CB1D3A" w:rsidRDefault="00CB1D3A" w:rsidP="00131E36">
      <w:pPr>
        <w:pStyle w:val="a5"/>
        <w:numPr>
          <w:ilvl w:val="0"/>
          <w:numId w:val="3"/>
        </w:numPr>
        <w:spacing w:before="0" w:after="0"/>
        <w:ind w:left="709" w:hanging="709"/>
      </w:pPr>
      <w:r>
        <w:t>Всем пациентам</w:t>
      </w:r>
      <w:r w:rsidR="00A057F1">
        <w:t xml:space="preserve"> с подозрением на тлеющую миелому или на солитарную</w:t>
      </w:r>
      <w:r w:rsidR="0075099C">
        <w:t xml:space="preserve"> </w:t>
      </w:r>
      <w:r w:rsidR="00A057F1">
        <w:t>плазмоцитому, а также при подозрении</w:t>
      </w:r>
      <w:r w:rsidR="000143AC">
        <w:t xml:space="preserve"> на</w:t>
      </w:r>
      <w:r w:rsidR="00A057F1">
        <w:t xml:space="preserve"> компрессию спинного мозга (для визуализации оболочек спинного мозга) </w:t>
      </w:r>
      <w:r w:rsidR="00A057F1" w:rsidRPr="00A057F1">
        <w:rPr>
          <w:b/>
        </w:rPr>
        <w:t>рекомендуется</w:t>
      </w:r>
      <w:r w:rsidR="00A057F1">
        <w:t xml:space="preserve"> выполнение </w:t>
      </w:r>
      <w:r w:rsidR="00D067B4">
        <w:t>магнитно-резонансной томографии всех отделов</w:t>
      </w:r>
      <w:r w:rsidR="00A057F1">
        <w:t xml:space="preserve"> позвоночника</w:t>
      </w:r>
      <w:r w:rsidR="000143AC">
        <w:t xml:space="preserve"> и таза</w:t>
      </w:r>
      <w:r w:rsidR="00A936BF">
        <w:t xml:space="preserve"> </w:t>
      </w:r>
      <w:r w:rsidR="00A96FB6">
        <w:fldChar w:fldCharType="begin" w:fldLock="1"/>
      </w:r>
      <w:r w:rsidR="00A936BF">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A936BF" w:rsidRPr="00344A76">
        <w:rPr>
          <w:noProof/>
        </w:rPr>
        <w:t>[1]</w:t>
      </w:r>
      <w:r w:rsidR="00A96FB6">
        <w:fldChar w:fldCharType="end"/>
      </w:r>
      <w:r>
        <w:t>.</w:t>
      </w:r>
    </w:p>
    <w:p w:rsidR="00CB1D3A" w:rsidRDefault="00CB1D3A" w:rsidP="00131E36">
      <w:pPr>
        <w:spacing w:before="0" w:after="0"/>
        <w:ind w:left="709"/>
        <w:contextualSpacing/>
        <w:rPr>
          <w:b/>
        </w:rPr>
      </w:pPr>
      <w:r w:rsidRPr="00741B6B">
        <w:rPr>
          <w:b/>
        </w:rPr>
        <w:t xml:space="preserve">Уровень убедительности рекомендаций </w:t>
      </w:r>
      <w:r w:rsidR="00D25832">
        <w:rPr>
          <w:b/>
        </w:rPr>
        <w:t xml:space="preserve">− </w:t>
      </w:r>
      <w:r w:rsidR="003C65DB">
        <w:rPr>
          <w:b/>
        </w:rPr>
        <w:t>С</w:t>
      </w:r>
      <w:r w:rsidRPr="00741B6B">
        <w:rPr>
          <w:b/>
        </w:rPr>
        <w:t xml:space="preserve"> (уровень достоверности доказательств </w:t>
      </w:r>
      <w:r w:rsidR="00D25832">
        <w:rPr>
          <w:b/>
        </w:rPr>
        <w:t xml:space="preserve">− </w:t>
      </w:r>
      <w:r w:rsidR="003C65DB">
        <w:rPr>
          <w:b/>
        </w:rPr>
        <w:t>5</w:t>
      </w:r>
      <w:r w:rsidRPr="00741B6B">
        <w:rPr>
          <w:b/>
        </w:rPr>
        <w:t>)</w:t>
      </w:r>
    </w:p>
    <w:p w:rsidR="00213F0A" w:rsidRDefault="00213F0A" w:rsidP="00213F0A">
      <w:pPr>
        <w:pStyle w:val="a5"/>
        <w:numPr>
          <w:ilvl w:val="0"/>
          <w:numId w:val="3"/>
        </w:numPr>
        <w:spacing w:before="0" w:after="0"/>
        <w:ind w:left="709" w:hanging="709"/>
      </w:pPr>
      <w:r>
        <w:t xml:space="preserve">Всем пациентам с верифицированной ММ перед началом терапии </w:t>
      </w:r>
      <w:r>
        <w:rPr>
          <w:b/>
          <w:bCs/>
        </w:rPr>
        <w:t xml:space="preserve">рекомендуется </w:t>
      </w:r>
      <w:r>
        <w:t>для своевременного выявления сопутствующей</w:t>
      </w:r>
      <w:r w:rsidRPr="008045CA">
        <w:t xml:space="preserve"> </w:t>
      </w:r>
      <w:r>
        <w:t>патологии со стороны сердечно-сосудистой, дыхательной и пищеварительной систем,</w:t>
      </w:r>
      <w:r w:rsidRPr="005C444A">
        <w:t xml:space="preserve"> </w:t>
      </w:r>
      <w:r>
        <w:t xml:space="preserve">определения необходимости профилактики или лечения соответствующей коморбидности выполнить следующие исследования </w:t>
      </w:r>
      <w:r w:rsidR="00A96FB6">
        <w:fldChar w:fldCharType="begin" w:fldLock="1"/>
      </w:r>
      <w: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Pr="00344A76">
        <w:rPr>
          <w:noProof/>
        </w:rPr>
        <w:t>[1]</w:t>
      </w:r>
      <w:r w:rsidR="00A96FB6">
        <w:fldChar w:fldCharType="end"/>
      </w:r>
      <w:r>
        <w:t>:</w:t>
      </w:r>
    </w:p>
    <w:p w:rsidR="00213F0A" w:rsidRPr="00430246" w:rsidRDefault="00213F0A" w:rsidP="00213F0A">
      <w:pPr>
        <w:pStyle w:val="a5"/>
        <w:numPr>
          <w:ilvl w:val="1"/>
          <w:numId w:val="3"/>
        </w:numPr>
        <w:spacing w:before="0" w:after="0"/>
      </w:pPr>
      <w:r w:rsidRPr="00430246">
        <w:t>электрокардиографию;</w:t>
      </w:r>
    </w:p>
    <w:p w:rsidR="00213F0A" w:rsidRPr="00E66551" w:rsidRDefault="00213F0A" w:rsidP="00213F0A">
      <w:pPr>
        <w:pStyle w:val="a5"/>
        <w:numPr>
          <w:ilvl w:val="1"/>
          <w:numId w:val="3"/>
        </w:numPr>
        <w:spacing w:before="0" w:after="0"/>
      </w:pPr>
      <w:r w:rsidRPr="00E66551">
        <w:t>эхокардиографию;</w:t>
      </w:r>
    </w:p>
    <w:p w:rsidR="00213F0A" w:rsidRPr="00E66551" w:rsidRDefault="00213F0A" w:rsidP="00213F0A">
      <w:pPr>
        <w:pStyle w:val="a5"/>
        <w:numPr>
          <w:ilvl w:val="1"/>
          <w:numId w:val="3"/>
        </w:numPr>
        <w:spacing w:before="0" w:after="0"/>
      </w:pPr>
      <w:r w:rsidRPr="00E66551">
        <w:t xml:space="preserve">ультразвуковую допплерографию сосудов (артерий и вен) </w:t>
      </w:r>
      <w:r w:rsidR="00C04CB9" w:rsidRPr="00E66551">
        <w:t>нижних</w:t>
      </w:r>
      <w:r w:rsidRPr="00E66551">
        <w:t xml:space="preserve"> конечностей;</w:t>
      </w:r>
    </w:p>
    <w:p w:rsidR="00213F0A" w:rsidRPr="00E66551" w:rsidRDefault="00213F0A" w:rsidP="00213F0A">
      <w:pPr>
        <w:pStyle w:val="a5"/>
        <w:numPr>
          <w:ilvl w:val="1"/>
          <w:numId w:val="3"/>
        </w:numPr>
        <w:spacing w:before="0" w:after="0"/>
      </w:pPr>
      <w:r w:rsidRPr="00E66551">
        <w:t xml:space="preserve">рентгенографию или </w:t>
      </w:r>
      <w:r w:rsidR="00D25832" w:rsidRPr="00E66551">
        <w:t>КТ</w:t>
      </w:r>
      <w:r w:rsidRPr="00E66551">
        <w:t xml:space="preserve"> органов грудной клетки;</w:t>
      </w:r>
    </w:p>
    <w:p w:rsidR="00213F0A" w:rsidRPr="00E66551" w:rsidRDefault="00213F0A" w:rsidP="00213F0A">
      <w:pPr>
        <w:pStyle w:val="a5"/>
        <w:numPr>
          <w:ilvl w:val="1"/>
          <w:numId w:val="3"/>
        </w:numPr>
        <w:spacing w:before="0" w:after="0"/>
      </w:pPr>
      <w:r w:rsidRPr="00E66551">
        <w:t>эзофагогастродуоденоскопию</w:t>
      </w:r>
      <w:r w:rsidR="00D25832" w:rsidRPr="00E66551">
        <w:t>.</w:t>
      </w:r>
    </w:p>
    <w:p w:rsidR="00213F0A" w:rsidRDefault="00213F0A" w:rsidP="00213F0A">
      <w:pPr>
        <w:spacing w:before="0" w:after="0"/>
        <w:ind w:left="709"/>
        <w:rPr>
          <w:b/>
        </w:rPr>
      </w:pPr>
      <w:r w:rsidRPr="00213F0A">
        <w:rPr>
          <w:b/>
        </w:rPr>
        <w:t xml:space="preserve">Уровень убедительности рекомендаций </w:t>
      </w:r>
      <w:r w:rsidR="00D25832">
        <w:rPr>
          <w:b/>
        </w:rPr>
        <w:t xml:space="preserve">− </w:t>
      </w:r>
      <w:r w:rsidRPr="00213F0A">
        <w:rPr>
          <w:b/>
        </w:rPr>
        <w:t xml:space="preserve">С (уровень достоверности доказательств </w:t>
      </w:r>
      <w:r w:rsidR="00D25832">
        <w:rPr>
          <w:b/>
        </w:rPr>
        <w:t>− 5)</w:t>
      </w:r>
    </w:p>
    <w:p w:rsidR="00213F0A" w:rsidRPr="00213F0A" w:rsidRDefault="00213F0A" w:rsidP="00213F0A">
      <w:pPr>
        <w:pStyle w:val="a5"/>
        <w:numPr>
          <w:ilvl w:val="0"/>
          <w:numId w:val="3"/>
        </w:numPr>
        <w:spacing w:before="0" w:after="0"/>
        <w:ind w:left="709"/>
        <w:rPr>
          <w:b/>
        </w:rPr>
      </w:pPr>
      <w:r w:rsidRPr="00430246">
        <w:t>Всем пациентам</w:t>
      </w:r>
      <w:r>
        <w:t xml:space="preserve"> с верифицированной ММ с коморбидностью, которая может повлиять на выбор программы противоопухолевого лечения, перед началом терапии </w:t>
      </w:r>
      <w:r w:rsidRPr="00213F0A">
        <w:rPr>
          <w:b/>
          <w:bCs/>
        </w:rPr>
        <w:t>рекомендуется</w:t>
      </w:r>
      <w:r>
        <w:rPr>
          <w:b/>
          <w:bCs/>
        </w:rPr>
        <w:t xml:space="preserve"> </w:t>
      </w:r>
      <w:r>
        <w:t xml:space="preserve">консультация соответствующего врача-специалиста (кардиолога, </w:t>
      </w:r>
      <w:r w:rsidRPr="002538FD">
        <w:t>невропатолога,</w:t>
      </w:r>
      <w:r>
        <w:t xml:space="preserve"> оториноларинолога</w:t>
      </w:r>
      <w:r w:rsidRPr="002538FD">
        <w:t xml:space="preserve"> и др</w:t>
      </w:r>
      <w:r>
        <w:t xml:space="preserve">.) </w:t>
      </w:r>
      <w:r w:rsidR="00A96FB6">
        <w:fldChar w:fldCharType="begin" w:fldLock="1"/>
      </w:r>
      <w: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Pr="00344A76">
        <w:rPr>
          <w:noProof/>
        </w:rPr>
        <w:t>[1]</w:t>
      </w:r>
      <w:r w:rsidR="00A96FB6">
        <w:fldChar w:fldCharType="end"/>
      </w:r>
      <w:r>
        <w:t>.</w:t>
      </w:r>
    </w:p>
    <w:p w:rsidR="00213F0A" w:rsidRDefault="00213F0A" w:rsidP="00213F0A">
      <w:pPr>
        <w:pStyle w:val="a5"/>
        <w:spacing w:before="0" w:after="0"/>
        <w:ind w:left="709"/>
        <w:rPr>
          <w:b/>
        </w:rPr>
      </w:pPr>
      <w:r w:rsidRPr="00213F0A">
        <w:rPr>
          <w:b/>
        </w:rPr>
        <w:t xml:space="preserve">Уровень убедительности рекомендаций </w:t>
      </w:r>
      <w:r w:rsidR="00594CCD">
        <w:rPr>
          <w:b/>
        </w:rPr>
        <w:t xml:space="preserve">− </w:t>
      </w:r>
      <w:r w:rsidRPr="00213F0A">
        <w:rPr>
          <w:b/>
        </w:rPr>
        <w:t xml:space="preserve">С (уровень достоверности доказательств </w:t>
      </w:r>
      <w:r w:rsidR="00594CCD">
        <w:rPr>
          <w:b/>
        </w:rPr>
        <w:t>− 5)</w:t>
      </w:r>
    </w:p>
    <w:p w:rsidR="005E3E79" w:rsidRDefault="005E3E79" w:rsidP="00971A8A">
      <w:pPr>
        <w:pStyle w:val="2"/>
      </w:pPr>
      <w:bookmarkStart w:id="20" w:name="_Toc24826812"/>
      <w:r w:rsidRPr="005E3E79">
        <w:t>2.5 Иные диагностические исследования</w:t>
      </w:r>
      <w:bookmarkEnd w:id="20"/>
    </w:p>
    <w:p w:rsidR="005E3E79" w:rsidRPr="000D22CF" w:rsidRDefault="005E3E79" w:rsidP="00213F0A">
      <w:pPr>
        <w:pStyle w:val="a5"/>
        <w:spacing w:before="0" w:after="0"/>
        <w:ind w:left="709"/>
        <w:rPr>
          <w:bCs/>
          <w:i/>
          <w:iCs/>
        </w:rPr>
      </w:pPr>
      <w:r w:rsidRPr="000D22CF">
        <w:rPr>
          <w:bCs/>
          <w:i/>
          <w:iCs/>
        </w:rPr>
        <w:t>Не применяются.</w:t>
      </w:r>
    </w:p>
    <w:p w:rsidR="005E3E79" w:rsidRPr="00213F0A" w:rsidRDefault="005E3E79" w:rsidP="00213F0A">
      <w:pPr>
        <w:pStyle w:val="a5"/>
        <w:spacing w:before="0" w:after="0"/>
        <w:ind w:left="709"/>
        <w:rPr>
          <w:b/>
        </w:rPr>
      </w:pPr>
    </w:p>
    <w:p w:rsidR="004D7374" w:rsidRPr="00E36DFA" w:rsidRDefault="004D7374" w:rsidP="00E36DFA">
      <w:pPr>
        <w:pStyle w:val="1"/>
      </w:pPr>
      <w:bookmarkStart w:id="21" w:name="_Toc520213125"/>
      <w:bookmarkStart w:id="22" w:name="_Toc24826813"/>
      <w:r w:rsidRPr="00E36DFA">
        <w:lastRenderedPageBreak/>
        <w:t xml:space="preserve">3. </w:t>
      </w:r>
      <w:bookmarkEnd w:id="21"/>
      <w:r w:rsidR="00BF3C4A" w:rsidRPr="00E36DFA">
        <w:t>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2"/>
      <w:r w:rsidR="00BF3C4A" w:rsidRPr="00E36DFA">
        <w:t xml:space="preserve"> </w:t>
      </w:r>
    </w:p>
    <w:p w:rsidR="004D7374" w:rsidRPr="00971A8A" w:rsidRDefault="00594CCD" w:rsidP="00E36DFA">
      <w:pPr>
        <w:pStyle w:val="2"/>
      </w:pPr>
      <w:bookmarkStart w:id="23" w:name="_Toc24826814"/>
      <w:r w:rsidRPr="00971A8A">
        <w:t xml:space="preserve">3.1 </w:t>
      </w:r>
      <w:r w:rsidR="004D7374" w:rsidRPr="00971A8A">
        <w:t xml:space="preserve">Показания к началу терапии </w:t>
      </w:r>
      <w:r w:rsidR="006E198F" w:rsidRPr="00971A8A">
        <w:t>и определение стратегии лечения</w:t>
      </w:r>
      <w:bookmarkEnd w:id="23"/>
      <w:r w:rsidR="006E198F" w:rsidRPr="00971A8A">
        <w:t xml:space="preserve"> </w:t>
      </w:r>
    </w:p>
    <w:p w:rsidR="00BE169C" w:rsidRDefault="002E2383" w:rsidP="00131E36">
      <w:pPr>
        <w:pStyle w:val="a5"/>
        <w:numPr>
          <w:ilvl w:val="0"/>
          <w:numId w:val="4"/>
        </w:numPr>
        <w:spacing w:before="0" w:after="0"/>
        <w:ind w:left="709" w:hanging="709"/>
      </w:pPr>
      <w:r w:rsidRPr="002E2383">
        <w:t xml:space="preserve">Пациентам с тлеющей (бессимптомной) миеломой специфическая терапия </w:t>
      </w:r>
      <w:r w:rsidRPr="00060BF1">
        <w:rPr>
          <w:b/>
        </w:rPr>
        <w:t>не</w:t>
      </w:r>
      <w:r w:rsidR="00146DC8">
        <w:rPr>
          <w:b/>
        </w:rPr>
        <w:t> </w:t>
      </w:r>
      <w:r w:rsidRPr="00060BF1">
        <w:rPr>
          <w:b/>
        </w:rPr>
        <w:t>рекомендуется</w:t>
      </w:r>
      <w:r w:rsidR="008C5285">
        <w:rPr>
          <w:b/>
        </w:rPr>
        <w:t xml:space="preserve"> </w:t>
      </w:r>
      <w:r w:rsidR="00A96FB6">
        <w:rPr>
          <w:b/>
        </w:rPr>
        <w:fldChar w:fldCharType="begin" w:fldLock="1"/>
      </w:r>
      <w:r w:rsidR="00F024AA">
        <w:rPr>
          <w:b/>
        </w:rPr>
        <w:instrText>ADDIN CSL_CITATION {"citationItems":[{"id":"ITEM-1","itemData":{"DOI":"10.1002/hon.2213","ISSN":"02780232","author":[{"dropping-particle":"","family":"Mateos","given":"María-Victoria","non-dropping-particle":"","parse-names":false,"suffix":""},{"dropping-particle":"","family":"San Miguel","given":"Jesús","non-dropping-particle":"","parse-names":false,"suffix":""}],"container-title":"Hematological Oncology","id":"ITEM-1","issued":{"date-parts":[["2015","6"]]},"page":"33-37","title":"V. Smoldering multiple myeloma","type":"article-journal","volume":"33"},"uris":["http://www.mendeley.com/documents/?uuid=ab66d6eb-bf67-3985-8eab-4a764be7d992"]}],"mendeley":{"formattedCitation":"[25]","plainTextFormattedCitation":"[25]","previouslyFormattedCitation":"[25]"},"properties":{"noteIndex":0},"schema":"https://github.com/citation-style-language/schema/raw/master/csl-citation.json"}</w:instrText>
      </w:r>
      <w:r w:rsidR="00A96FB6">
        <w:rPr>
          <w:b/>
        </w:rPr>
        <w:fldChar w:fldCharType="separate"/>
      </w:r>
      <w:r w:rsidR="008C5285" w:rsidRPr="008C5285">
        <w:rPr>
          <w:noProof/>
        </w:rPr>
        <w:t>[25]</w:t>
      </w:r>
      <w:r w:rsidR="00A96FB6">
        <w:rPr>
          <w:b/>
        </w:rPr>
        <w:fldChar w:fldCharType="end"/>
      </w:r>
      <w:r w:rsidRPr="00BE169C">
        <w:t>.</w:t>
      </w:r>
    </w:p>
    <w:p w:rsidR="00BE169C" w:rsidRPr="00BE169C" w:rsidRDefault="00BE169C" w:rsidP="00131E36">
      <w:pPr>
        <w:pStyle w:val="a5"/>
        <w:spacing w:before="0" w:after="0"/>
        <w:ind w:left="709"/>
      </w:pPr>
      <w:r w:rsidRPr="00BE169C">
        <w:rPr>
          <w:b/>
        </w:rPr>
        <w:t>Уровень убедительности рекоме</w:t>
      </w:r>
      <w:r w:rsidR="007A3F11">
        <w:rPr>
          <w:b/>
        </w:rPr>
        <w:t xml:space="preserve">ндаций </w:t>
      </w:r>
      <w:r w:rsidR="00594CCD">
        <w:rPr>
          <w:b/>
        </w:rPr>
        <w:t xml:space="preserve">− </w:t>
      </w:r>
      <w:r w:rsidR="007A3F11">
        <w:rPr>
          <w:b/>
        </w:rPr>
        <w:t>С</w:t>
      </w:r>
      <w:r w:rsidRPr="00BE169C">
        <w:rPr>
          <w:b/>
        </w:rPr>
        <w:t xml:space="preserve"> (уровень достоверности доказательств </w:t>
      </w:r>
      <w:r w:rsidR="00594CCD">
        <w:rPr>
          <w:b/>
        </w:rPr>
        <w:t xml:space="preserve">− </w:t>
      </w:r>
      <w:r w:rsidR="007A3F11" w:rsidRPr="007A3F11">
        <w:rPr>
          <w:b/>
        </w:rPr>
        <w:t>5</w:t>
      </w:r>
      <w:r w:rsidRPr="00BE169C">
        <w:rPr>
          <w:b/>
        </w:rPr>
        <w:t>)</w:t>
      </w:r>
    </w:p>
    <w:p w:rsidR="004D7374" w:rsidRPr="00BE169C" w:rsidRDefault="00BE169C" w:rsidP="00131E36">
      <w:pPr>
        <w:pStyle w:val="a5"/>
        <w:numPr>
          <w:ilvl w:val="0"/>
          <w:numId w:val="4"/>
        </w:numPr>
        <w:spacing w:before="0" w:after="0"/>
        <w:ind w:left="709" w:hanging="709"/>
      </w:pPr>
      <w:r w:rsidRPr="00BE169C">
        <w:t xml:space="preserve">Пациентам с симптоматической </w:t>
      </w:r>
      <w:r w:rsidR="00594CCD">
        <w:t>ММ</w:t>
      </w:r>
      <w:r w:rsidRPr="00BE169C">
        <w:t xml:space="preserve"> </w:t>
      </w:r>
      <w:r w:rsidRPr="00BE169C">
        <w:rPr>
          <w:b/>
        </w:rPr>
        <w:t>рекомендуется</w:t>
      </w:r>
      <w:r w:rsidRPr="00BE169C">
        <w:t xml:space="preserve"> начало специфической </w:t>
      </w:r>
      <w:r w:rsidR="00D15602">
        <w:t xml:space="preserve">противоопухолевой </w:t>
      </w:r>
      <w:r w:rsidRPr="00BE169C">
        <w:t>терапии</w:t>
      </w:r>
      <w:r w:rsidR="008C5285" w:rsidRPr="008C5285">
        <w:t xml:space="preserve"> </w:t>
      </w:r>
      <w:r w:rsidR="00A96FB6">
        <w:rPr>
          <w:b/>
        </w:rPr>
        <w:fldChar w:fldCharType="begin" w:fldLock="1"/>
      </w:r>
      <w:r w:rsidR="00F024AA">
        <w:rPr>
          <w:b/>
        </w:rPr>
        <w:instrText>ADDIN CSL_CITATION {"citationItems":[{"id":"ITEM-1","itemData":{"DOI":"10.1002/hon.2213","ISSN":"02780232","author":[{"dropping-particle":"","family":"Mateos","given":"María-Victoria","non-dropping-particle":"","parse-names":false,"suffix":""},{"dropping-particle":"","family":"San Miguel","given":"Jesús","non-dropping-particle":"","parse-names":false,"suffix":""}],"container-title":"Hematological Oncology","id":"ITEM-1","issued":{"date-parts":[["2015","6"]]},"page":"33-37","title":"V. Smoldering multiple myeloma","type":"article-journal","volume":"33"},"uris":["http://www.mendeley.com/documents/?uuid=ab66d6eb-bf67-3985-8eab-4a764be7d992"]}],"mendeley":{"formattedCitation":"[25]","plainTextFormattedCitation":"[25]","previouslyFormattedCitation":"[25]"},"properties":{"noteIndex":0},"schema":"https://github.com/citation-style-language/schema/raw/master/csl-citation.json"}</w:instrText>
      </w:r>
      <w:r w:rsidR="00A96FB6">
        <w:rPr>
          <w:b/>
        </w:rPr>
        <w:fldChar w:fldCharType="separate"/>
      </w:r>
      <w:r w:rsidR="008C5285" w:rsidRPr="008C5285">
        <w:rPr>
          <w:noProof/>
        </w:rPr>
        <w:t>[25]</w:t>
      </w:r>
      <w:r w:rsidR="00A96FB6">
        <w:rPr>
          <w:b/>
        </w:rPr>
        <w:fldChar w:fldCharType="end"/>
      </w:r>
      <w:r w:rsidRPr="00BE169C">
        <w:t>.</w:t>
      </w:r>
    </w:p>
    <w:p w:rsidR="004D7374" w:rsidRPr="00383556" w:rsidRDefault="004D7374" w:rsidP="00131E36">
      <w:pPr>
        <w:spacing w:before="0" w:after="0"/>
        <w:ind w:left="709"/>
        <w:contextualSpacing/>
        <w:rPr>
          <w:b/>
        </w:rPr>
      </w:pPr>
      <w:r w:rsidRPr="00383556">
        <w:rPr>
          <w:b/>
        </w:rPr>
        <w:t xml:space="preserve">Уровень убедительности рекомендаций </w:t>
      </w:r>
      <w:r w:rsidR="00594CCD">
        <w:rPr>
          <w:b/>
        </w:rPr>
        <w:t xml:space="preserve">− </w:t>
      </w:r>
      <w:r w:rsidR="007A3F11">
        <w:rPr>
          <w:b/>
        </w:rPr>
        <w:t>С</w:t>
      </w:r>
      <w:r w:rsidRPr="00383556">
        <w:rPr>
          <w:b/>
        </w:rPr>
        <w:t xml:space="preserve"> (уровень достоверности доказательств </w:t>
      </w:r>
      <w:r w:rsidR="00594CCD">
        <w:rPr>
          <w:b/>
        </w:rPr>
        <w:t xml:space="preserve">− </w:t>
      </w:r>
      <w:r w:rsidR="007A3F11" w:rsidRPr="007A3F11">
        <w:rPr>
          <w:b/>
        </w:rPr>
        <w:t>5</w:t>
      </w:r>
      <w:r w:rsidRPr="00383556">
        <w:rPr>
          <w:b/>
        </w:rPr>
        <w:t>)</w:t>
      </w:r>
    </w:p>
    <w:p w:rsidR="002E2383" w:rsidRPr="00F024AA" w:rsidRDefault="004D7374" w:rsidP="00131E36">
      <w:pPr>
        <w:spacing w:before="0" w:after="0"/>
        <w:ind w:left="709"/>
        <w:contextualSpacing/>
        <w:rPr>
          <w:i/>
        </w:rPr>
      </w:pPr>
      <w:r w:rsidRPr="00383556">
        <w:rPr>
          <w:b/>
        </w:rPr>
        <w:t>Комментарий:</w:t>
      </w:r>
      <w:r w:rsidR="00D15602">
        <w:rPr>
          <w:b/>
        </w:rPr>
        <w:t xml:space="preserve"> </w:t>
      </w:r>
      <w:r w:rsidR="00594CCD">
        <w:rPr>
          <w:i/>
        </w:rPr>
        <w:t>т</w:t>
      </w:r>
      <w:r w:rsidR="002E2383" w:rsidRPr="002E2383">
        <w:rPr>
          <w:i/>
        </w:rPr>
        <w:t xml:space="preserve">актика ведения </w:t>
      </w:r>
      <w:r w:rsidR="00FB03BB" w:rsidRPr="00FB03BB">
        <w:rPr>
          <w:i/>
        </w:rPr>
        <w:t>пациентов</w:t>
      </w:r>
      <w:r w:rsidR="002E2383" w:rsidRPr="002E2383">
        <w:rPr>
          <w:i/>
        </w:rPr>
        <w:t xml:space="preserve"> моложе 65 лет и пожилых </w:t>
      </w:r>
      <w:r w:rsidR="00FB03BB" w:rsidRPr="00FB03BB">
        <w:rPr>
          <w:i/>
        </w:rPr>
        <w:t>пациентов</w:t>
      </w:r>
      <w:r w:rsidR="00D15602">
        <w:rPr>
          <w:i/>
        </w:rPr>
        <w:t xml:space="preserve"> </w:t>
      </w:r>
      <w:r w:rsidR="002E2383" w:rsidRPr="002E2383">
        <w:rPr>
          <w:i/>
        </w:rPr>
        <w:t xml:space="preserve">отличается. Для лечения </w:t>
      </w:r>
      <w:r w:rsidR="00594CCD">
        <w:rPr>
          <w:i/>
        </w:rPr>
        <w:t>«</w:t>
      </w:r>
      <w:r w:rsidR="002E2383" w:rsidRPr="00F024AA">
        <w:rPr>
          <w:i/>
        </w:rPr>
        <w:t>первичных</w:t>
      </w:r>
      <w:r w:rsidR="00594CCD">
        <w:rPr>
          <w:i/>
        </w:rPr>
        <w:t>»</w:t>
      </w:r>
      <w:r w:rsidR="002E2383" w:rsidRPr="00F024AA">
        <w:rPr>
          <w:i/>
        </w:rPr>
        <w:t xml:space="preserve"> </w:t>
      </w:r>
      <w:r w:rsidR="00534E54">
        <w:rPr>
          <w:i/>
        </w:rPr>
        <w:t xml:space="preserve">пациентов </w:t>
      </w:r>
      <w:r w:rsidR="00E06761" w:rsidRPr="00F024AA">
        <w:rPr>
          <w:i/>
        </w:rPr>
        <w:t>моложе 65 лет</w:t>
      </w:r>
      <w:r w:rsidR="00E06761">
        <w:rPr>
          <w:i/>
        </w:rPr>
        <w:t xml:space="preserve"> с</w:t>
      </w:r>
      <w:r w:rsidR="002E2383" w:rsidRPr="00F024AA">
        <w:rPr>
          <w:i/>
        </w:rPr>
        <w:t xml:space="preserve"> ММ без серьезной сопутствующей патоло</w:t>
      </w:r>
      <w:r w:rsidR="003C4738" w:rsidRPr="00F024AA">
        <w:rPr>
          <w:i/>
        </w:rPr>
        <w:t xml:space="preserve">гии </w:t>
      </w:r>
      <w:r w:rsidR="00D15602" w:rsidRPr="00F024AA">
        <w:rPr>
          <w:i/>
        </w:rPr>
        <w:t xml:space="preserve">в программу лечения </w:t>
      </w:r>
      <w:r w:rsidR="003C4738" w:rsidRPr="00F024AA">
        <w:rPr>
          <w:i/>
        </w:rPr>
        <w:t>включают</w:t>
      </w:r>
      <w:r w:rsidR="002E2383" w:rsidRPr="00F024AA">
        <w:rPr>
          <w:i/>
        </w:rPr>
        <w:t xml:space="preserve"> высокодозную химиотерапию (ВДХТ) с трансплантацией ауто</w:t>
      </w:r>
      <w:r w:rsidR="00267DE2">
        <w:rPr>
          <w:i/>
        </w:rPr>
        <w:t>-</w:t>
      </w:r>
      <w:r w:rsidR="002E2383" w:rsidRPr="00F024AA">
        <w:rPr>
          <w:i/>
        </w:rPr>
        <w:t xml:space="preserve">ТГСК. </w:t>
      </w:r>
      <w:r w:rsidR="00FB03BB" w:rsidRPr="00F024AA">
        <w:rPr>
          <w:i/>
        </w:rPr>
        <w:t>Пациентам</w:t>
      </w:r>
      <w:r w:rsidR="002E2383" w:rsidRPr="00F024AA">
        <w:rPr>
          <w:i/>
        </w:rPr>
        <w:t xml:space="preserve"> старше 65 лет или молодым </w:t>
      </w:r>
      <w:r w:rsidR="00EC5D1A">
        <w:rPr>
          <w:i/>
        </w:rPr>
        <w:t>лицам</w:t>
      </w:r>
      <w:r w:rsidR="002E2383" w:rsidRPr="00F024AA">
        <w:rPr>
          <w:i/>
        </w:rPr>
        <w:t xml:space="preserve"> с </w:t>
      </w:r>
      <w:r w:rsidR="00D15602" w:rsidRPr="00F024AA">
        <w:rPr>
          <w:i/>
        </w:rPr>
        <w:t xml:space="preserve">клинически значимыми </w:t>
      </w:r>
      <w:r w:rsidR="002E2383" w:rsidRPr="00F024AA">
        <w:rPr>
          <w:i/>
        </w:rPr>
        <w:t xml:space="preserve">сопутствующими заболеваниями следует рекомендовать комбинации на основе новых лекарственных препаратов без </w:t>
      </w:r>
      <w:r w:rsidR="00D15602" w:rsidRPr="00F024AA">
        <w:rPr>
          <w:i/>
        </w:rPr>
        <w:t xml:space="preserve">этапа </w:t>
      </w:r>
      <w:r w:rsidR="002E2383" w:rsidRPr="00F024AA">
        <w:rPr>
          <w:i/>
        </w:rPr>
        <w:t>ВДХТ с ауто</w:t>
      </w:r>
      <w:r w:rsidR="00267DE2">
        <w:rPr>
          <w:i/>
        </w:rPr>
        <w:t>-</w:t>
      </w:r>
      <w:r w:rsidR="002E2383" w:rsidRPr="00F024AA">
        <w:rPr>
          <w:i/>
        </w:rPr>
        <w:t>ТГСК.</w:t>
      </w:r>
    </w:p>
    <w:p w:rsidR="0025009A" w:rsidRDefault="002E2383" w:rsidP="00457DBC">
      <w:pPr>
        <w:spacing w:before="0" w:after="0"/>
        <w:ind w:left="709" w:firstLine="709"/>
        <w:contextualSpacing/>
        <w:rPr>
          <w:i/>
        </w:rPr>
      </w:pPr>
      <w:r w:rsidRPr="002E2383">
        <w:rPr>
          <w:i/>
        </w:rPr>
        <w:t xml:space="preserve">При выборе схемы индукционной терапии необходимо </w:t>
      </w:r>
      <w:r w:rsidR="00D15602" w:rsidRPr="002E2383">
        <w:rPr>
          <w:i/>
        </w:rPr>
        <w:t xml:space="preserve">также </w:t>
      </w:r>
      <w:r w:rsidRPr="002E2383">
        <w:rPr>
          <w:i/>
        </w:rPr>
        <w:t>учитывать соп</w:t>
      </w:r>
      <w:r w:rsidR="006E7B15">
        <w:rPr>
          <w:i/>
        </w:rPr>
        <w:t>утствующие заболевания пациента</w:t>
      </w:r>
      <w:r w:rsidRPr="002E2383">
        <w:rPr>
          <w:i/>
        </w:rPr>
        <w:t xml:space="preserve"> и </w:t>
      </w:r>
      <w:r w:rsidRPr="00F024AA">
        <w:rPr>
          <w:i/>
        </w:rPr>
        <w:t xml:space="preserve">осложнения ММ. При </w:t>
      </w:r>
      <w:r w:rsidR="00D15602" w:rsidRPr="00F024AA">
        <w:rPr>
          <w:i/>
        </w:rPr>
        <w:t xml:space="preserve">наличии клинически значимой </w:t>
      </w:r>
      <w:r w:rsidRPr="00F024AA">
        <w:rPr>
          <w:i/>
        </w:rPr>
        <w:t>кардиальной патологии целесообразн</w:t>
      </w:r>
      <w:r w:rsidRPr="002E2383">
        <w:rPr>
          <w:i/>
        </w:rPr>
        <w:t>о исключить из терапии</w:t>
      </w:r>
      <w:r w:rsidR="000D22CF">
        <w:rPr>
          <w:i/>
        </w:rPr>
        <w:t xml:space="preserve"> антрациклины</w:t>
      </w:r>
      <w:r w:rsidRPr="002E2383">
        <w:rPr>
          <w:i/>
        </w:rPr>
        <w:t xml:space="preserve">. Для лечения </w:t>
      </w:r>
      <w:r w:rsidR="00FB03BB" w:rsidRPr="00FB03BB">
        <w:rPr>
          <w:i/>
        </w:rPr>
        <w:t>пациентов</w:t>
      </w:r>
      <w:r w:rsidR="00DE0BC0">
        <w:rPr>
          <w:i/>
        </w:rPr>
        <w:t xml:space="preserve"> </w:t>
      </w:r>
      <w:r w:rsidRPr="002E2383">
        <w:rPr>
          <w:i/>
        </w:rPr>
        <w:t>с почечной недостаточностью терапией выбора являются бортезомибсодержащие режимы с высокими дозами дексаметазона</w:t>
      </w:r>
      <w:r w:rsidR="00637D26" w:rsidRPr="00B97428">
        <w:rPr>
          <w:i/>
        </w:rPr>
        <w:t>**</w:t>
      </w:r>
      <w:r w:rsidRPr="002E2383">
        <w:rPr>
          <w:i/>
        </w:rPr>
        <w:t>.</w:t>
      </w:r>
      <w:r w:rsidR="006E7B15">
        <w:rPr>
          <w:i/>
        </w:rPr>
        <w:t xml:space="preserve"> </w:t>
      </w:r>
      <w:r w:rsidR="00DE0BC0">
        <w:rPr>
          <w:i/>
        </w:rPr>
        <w:t xml:space="preserve">При наличии </w:t>
      </w:r>
      <w:r w:rsidR="00DE0BC0" w:rsidRPr="00F024AA">
        <w:rPr>
          <w:i/>
        </w:rPr>
        <w:t>жизнеугрожающих состояний</w:t>
      </w:r>
      <w:r w:rsidR="00F024AA" w:rsidRPr="00F024AA">
        <w:rPr>
          <w:i/>
        </w:rPr>
        <w:t xml:space="preserve"> (</w:t>
      </w:r>
      <w:r w:rsidR="00DE0BC0" w:rsidRPr="00F024AA">
        <w:rPr>
          <w:i/>
        </w:rPr>
        <w:t xml:space="preserve">клинически значимое </w:t>
      </w:r>
      <w:r w:rsidRPr="00F024AA">
        <w:rPr>
          <w:i/>
        </w:rPr>
        <w:t xml:space="preserve">кровотечение, </w:t>
      </w:r>
      <w:r w:rsidR="00DE0BC0" w:rsidRPr="00F024AA">
        <w:rPr>
          <w:i/>
        </w:rPr>
        <w:t>некомпенсированный сахарный диабет тяжелого течения</w:t>
      </w:r>
      <w:r w:rsidR="00F024AA" w:rsidRPr="00F024AA">
        <w:rPr>
          <w:i/>
        </w:rPr>
        <w:t>)</w:t>
      </w:r>
      <w:r w:rsidR="00DE0BC0" w:rsidRPr="00F024AA">
        <w:rPr>
          <w:i/>
        </w:rPr>
        <w:t xml:space="preserve"> </w:t>
      </w:r>
      <w:r w:rsidRPr="00F024AA">
        <w:rPr>
          <w:i/>
        </w:rPr>
        <w:t xml:space="preserve">противоопухолевая терапия проводится </w:t>
      </w:r>
      <w:r w:rsidRPr="002E2383">
        <w:rPr>
          <w:i/>
        </w:rPr>
        <w:t>сразу после купирования указанных осложнений.</w:t>
      </w:r>
      <w:r w:rsidR="00DE0BC0">
        <w:rPr>
          <w:i/>
        </w:rPr>
        <w:t xml:space="preserve"> </w:t>
      </w:r>
    </w:p>
    <w:p w:rsidR="004D7374" w:rsidRPr="00971A8A" w:rsidRDefault="004D7374" w:rsidP="00E36DFA">
      <w:pPr>
        <w:pStyle w:val="2"/>
      </w:pPr>
      <w:bookmarkStart w:id="24" w:name="_Toc24826815"/>
      <w:r w:rsidRPr="00971A8A">
        <w:lastRenderedPageBreak/>
        <w:t xml:space="preserve">3.2 </w:t>
      </w:r>
      <w:r w:rsidR="002E2383" w:rsidRPr="00971A8A">
        <w:t xml:space="preserve">Лечение </w:t>
      </w:r>
      <w:r w:rsidR="00FB03BB" w:rsidRPr="00971A8A">
        <w:t>пациентов</w:t>
      </w:r>
      <w:r w:rsidR="00DE0BC0" w:rsidRPr="00971A8A">
        <w:t xml:space="preserve"> </w:t>
      </w:r>
      <w:r w:rsidR="002E2383" w:rsidRPr="00971A8A">
        <w:t>с впервые диагностированной ММ</w:t>
      </w:r>
      <w:r w:rsidR="00993B1B" w:rsidRPr="00971A8A">
        <w:t xml:space="preserve"> −</w:t>
      </w:r>
      <w:r w:rsidR="002E2383" w:rsidRPr="00971A8A">
        <w:t xml:space="preserve"> не кандидатов на ВДХТ с ауто</w:t>
      </w:r>
      <w:r w:rsidR="00267DE2" w:rsidRPr="00971A8A">
        <w:t>-</w:t>
      </w:r>
      <w:r w:rsidR="002E2383" w:rsidRPr="00971A8A">
        <w:t>ТГСК (</w:t>
      </w:r>
      <w:r w:rsidR="00580EA1" w:rsidRPr="00971A8A">
        <w:t>старше 65 лет</w:t>
      </w:r>
      <w:r w:rsidR="002E2383" w:rsidRPr="00971A8A">
        <w:t>)</w:t>
      </w:r>
      <w:bookmarkEnd w:id="24"/>
    </w:p>
    <w:p w:rsidR="004D7374" w:rsidRDefault="002E2383" w:rsidP="00131E36">
      <w:pPr>
        <w:pStyle w:val="a5"/>
        <w:numPr>
          <w:ilvl w:val="0"/>
          <w:numId w:val="5"/>
        </w:numPr>
        <w:spacing w:before="0" w:after="0"/>
        <w:ind w:left="709" w:hanging="709"/>
      </w:pPr>
      <w:r>
        <w:t xml:space="preserve">Пациентам с впервые диагностированной ММ – не кандидатам на </w:t>
      </w:r>
      <w:r w:rsidR="00156B40">
        <w:t>ВДХТ с ауто</w:t>
      </w:r>
      <w:r w:rsidR="00267DE2">
        <w:t>-</w:t>
      </w:r>
      <w:r w:rsidR="00156B40">
        <w:t>ТГСК</w:t>
      </w:r>
      <w:r w:rsidR="00BF576C">
        <w:t xml:space="preserve"> − </w:t>
      </w:r>
      <w:r w:rsidR="003703A8">
        <w:rPr>
          <w:b/>
        </w:rPr>
        <w:t>рекомендуется</w:t>
      </w:r>
      <w:r w:rsidR="00156B40">
        <w:t xml:space="preserve"> лечение одной из программ с включением бортезомиба</w:t>
      </w:r>
      <w:r w:rsidR="00506677" w:rsidRPr="00B97428">
        <w:t>**</w:t>
      </w:r>
      <w:r w:rsidR="00156B40">
        <w:t xml:space="preserve"> – </w:t>
      </w:r>
      <w:r w:rsidR="00156B40">
        <w:rPr>
          <w:lang w:val="en-US"/>
        </w:rPr>
        <w:t>VMP</w:t>
      </w:r>
      <w:r w:rsidR="00156B40">
        <w:t xml:space="preserve"> или </w:t>
      </w:r>
      <w:r w:rsidR="00156B40">
        <w:rPr>
          <w:lang w:val="en-US"/>
        </w:rPr>
        <w:t>VD</w:t>
      </w:r>
      <w:r w:rsidR="00DE0BC0">
        <w:t xml:space="preserve"> </w:t>
      </w:r>
      <w:r w:rsidR="001105A2">
        <w:t xml:space="preserve">(описание режимов – см. приложение </w:t>
      </w:r>
      <w:r w:rsidR="00C812D6">
        <w:t>А3.1</w:t>
      </w:r>
      <w:r w:rsidR="00BF576C">
        <w:t>.</w:t>
      </w:r>
      <w:r w:rsidR="001105A2">
        <w:t>)</w:t>
      </w:r>
      <w:r w:rsidR="00F024AA" w:rsidRPr="00F024AA">
        <w:t xml:space="preserve"> </w:t>
      </w:r>
      <w:r w:rsidR="00A96FB6">
        <w:fldChar w:fldCharType="begin" w:fldLock="1"/>
      </w:r>
      <w:r w:rsidR="00267DE2">
        <w:instrText>ADDIN CSL_CITATION {"citationItems":[{"id":"ITEM-1","itemData":{"DOI":"10.3109/10428194.2013.847935","ISSN":"1029-2403","PMID":"24067138","abstract":"The objective of the study was to investigate the effects and safety of novel agents such as bortezomib and lenalidomide in the treatment of newly diagnosed patients with multiple myeloma. We performed a comprehensive meta-analysis of randomized controlled trials (RCTs). An initial search yielded 627 citations, of which 10 RCTs enrolling 4534 patients met the inclusion criteria. The addition of bortezomib to first-line therapy significantly prolonged overall survival (OS) (hazard ratio [HR], 0.75 [0.65, 0.87], p &lt; 0.001). On the other hand, the addition of lenalidomide had no impact on survival (HR, 0.88 [0.65, 1.20], p = 0.42). Both lenalidomide and bortezomib consistently improved progression-free survival (PFS) compared with conventional therapy alone. The corresponding HRs were 0.65, 95% confidence interval (CI) [0.55, 0.77] (p &lt; 0.001) for bortezomib and 0.48, 95% CI [0.42, 0.55]; (p &lt; 0.001) for lenalidomide, respectively. Some of the increased adverse events reported were herpes zoster (relative risk [RR], 3.64 [2.23, 5.94], p &lt; 0.001), peripheral neuropathy (RR, 3.59 [1.89, 6.83], p &lt; 0.001) and gastrointestinal effects (RR, 2.19 [1.37, 3.50], p = 0.001) among patients receiving bortezomib, and gastrointestinal effects (RR, 2.36 [1.33, 4.17], p = 0.003) and thromboembolic events (RR, 2.55 [1.48, 4.38], p &lt; 0.001) among patients receiving lenalidomide. Interestingly, treatment with bortezomib seemed to be associated with a lower rate of treatment related mortality (RR, 0.39 [0.18, 0.85], p = 0.02). An increased incidence of second primary cancers was observed in the lenalidomide group (RR 2.61 [1.60, 4.27], p &lt; 0.001). In summary, bortezomib improved OS, and both lenalidomide and bortezomib consistently improved PFS of patients with newly diagnosed myeloma when it was added to standard therapy.","author":[{"dropping-particle":"","family":"Zou","given":"Yandun","non-dropping-particle":"","parse-names":false,"suffix":""},{"dropping-particle":"","family":"Lin","given":"Mingzhen","non-dropping-particle":"","parse-names":false,"suffix":""},{"dropping-particle":"","family":"Sheng","given":"Zhixin","non-dropping-particle":"","parse-names":false,"suffix":""},{"dropping-particle":"","family":"Niu","given":"Shaona","non-dropping-particle":"","parse-names":false,"suffix":""}],"container-title":"Leukemia &amp; lymphoma","id":"ITEM-1","issue":"9","issued":{"date-parts":[["2014","9"]]},"page":"2024-31","title":"Bortezomib and lenalidomide as front-line therapy for multiple myeloma.","type":"article-journal","volume":"55"},"uris":["http://www.mendeley.com/documents/?uuid=9439b288-0a59-314a-9744-9aedc4d3acdf"]}],"mendeley":{"formattedCitation":"[26]","plainTextFormattedCitation":"[26]","previouslyFormattedCitation":"[26]"},"properties":{"noteIndex":0},"schema":"https://github.com/citation-style-language/schema/raw/master/csl-citation.json"}</w:instrText>
      </w:r>
      <w:r w:rsidR="00A96FB6">
        <w:fldChar w:fldCharType="separate"/>
      </w:r>
      <w:r w:rsidR="000D22CF" w:rsidRPr="000D22CF">
        <w:rPr>
          <w:noProof/>
        </w:rPr>
        <w:t>[26]</w:t>
      </w:r>
      <w:r w:rsidR="00A96FB6">
        <w:fldChar w:fldCharType="end"/>
      </w:r>
      <w:r w:rsidR="002A14A3">
        <w:t>.</w:t>
      </w:r>
    </w:p>
    <w:p w:rsidR="004D7374" w:rsidRPr="00D25605" w:rsidRDefault="004D7374" w:rsidP="00131E36">
      <w:pPr>
        <w:spacing w:before="0" w:after="0"/>
        <w:ind w:left="709"/>
        <w:contextualSpacing/>
        <w:rPr>
          <w:b/>
        </w:rPr>
      </w:pPr>
      <w:r w:rsidRPr="00D25605">
        <w:rPr>
          <w:b/>
        </w:rPr>
        <w:t xml:space="preserve">Уровень убедительности рекомендаций </w:t>
      </w:r>
      <w:r w:rsidR="00083A71">
        <w:rPr>
          <w:b/>
        </w:rPr>
        <w:t xml:space="preserve">− </w:t>
      </w:r>
      <w:r w:rsidR="00637D26" w:rsidRPr="00D25605">
        <w:rPr>
          <w:b/>
        </w:rPr>
        <w:t>A</w:t>
      </w:r>
      <w:r w:rsidRPr="00D25605">
        <w:rPr>
          <w:b/>
        </w:rPr>
        <w:t xml:space="preserve"> (уровень достоверности доказательств</w:t>
      </w:r>
      <w:r w:rsidR="00083A71">
        <w:rPr>
          <w:b/>
        </w:rPr>
        <w:t xml:space="preserve"> −</w:t>
      </w:r>
      <w:r w:rsidRPr="00D25605">
        <w:rPr>
          <w:b/>
        </w:rPr>
        <w:t xml:space="preserve"> </w:t>
      </w:r>
      <w:r w:rsidR="00637D26" w:rsidRPr="005040C9">
        <w:rPr>
          <w:b/>
        </w:rPr>
        <w:t>1</w:t>
      </w:r>
      <w:r w:rsidRPr="00D25605">
        <w:rPr>
          <w:b/>
        </w:rPr>
        <w:t>)</w:t>
      </w:r>
    </w:p>
    <w:p w:rsidR="00412809" w:rsidRPr="00412809" w:rsidRDefault="004D7374" w:rsidP="00131E36">
      <w:pPr>
        <w:spacing w:before="0" w:after="0"/>
        <w:ind w:left="709"/>
        <w:contextualSpacing/>
        <w:rPr>
          <w:i/>
        </w:rPr>
      </w:pPr>
      <w:r w:rsidRPr="00D25605">
        <w:rPr>
          <w:b/>
        </w:rPr>
        <w:t xml:space="preserve">Комментарий: </w:t>
      </w:r>
      <w:r w:rsidR="00083A71">
        <w:rPr>
          <w:i/>
        </w:rPr>
        <w:t>в</w:t>
      </w:r>
      <w:r w:rsidR="00412809" w:rsidRPr="009D3B20">
        <w:rPr>
          <w:i/>
        </w:rPr>
        <w:t xml:space="preserve"> </w:t>
      </w:r>
      <w:r w:rsidR="00412809" w:rsidRPr="00F024AA">
        <w:rPr>
          <w:i/>
        </w:rPr>
        <w:t xml:space="preserve">рандомизированном исследовании VISTA проведено сравнение </w:t>
      </w:r>
      <w:r w:rsidR="000F1774" w:rsidRPr="00F024AA">
        <w:rPr>
          <w:i/>
        </w:rPr>
        <w:t>эффективности</w:t>
      </w:r>
      <w:r w:rsidR="00412809" w:rsidRPr="00F024AA">
        <w:rPr>
          <w:i/>
        </w:rPr>
        <w:t xml:space="preserve"> комбин</w:t>
      </w:r>
      <w:r w:rsidR="00412809" w:rsidRPr="009D3B20">
        <w:rPr>
          <w:i/>
        </w:rPr>
        <w:t>ации мелфалана</w:t>
      </w:r>
      <w:r w:rsidR="007E7259" w:rsidRPr="009D3B20">
        <w:rPr>
          <w:i/>
        </w:rPr>
        <w:t>**</w:t>
      </w:r>
      <w:r w:rsidR="00412809" w:rsidRPr="009D3B20">
        <w:rPr>
          <w:i/>
        </w:rPr>
        <w:t xml:space="preserve"> и преднизолона</w:t>
      </w:r>
      <w:r w:rsidR="007E7259" w:rsidRPr="009D3B20">
        <w:rPr>
          <w:i/>
        </w:rPr>
        <w:t>**</w:t>
      </w:r>
      <w:r w:rsidR="00412809" w:rsidRPr="009D3B20">
        <w:rPr>
          <w:i/>
        </w:rPr>
        <w:t xml:space="preserve"> (MP) и комбинации бортезомиба</w:t>
      </w:r>
      <w:r w:rsidR="0004377D" w:rsidRPr="009D3B20">
        <w:rPr>
          <w:i/>
        </w:rPr>
        <w:t>**</w:t>
      </w:r>
      <w:r w:rsidR="00412809" w:rsidRPr="009D3B20">
        <w:rPr>
          <w:i/>
        </w:rPr>
        <w:t xml:space="preserve"> с мелфаланом</w:t>
      </w:r>
      <w:r w:rsidR="00DE0D23" w:rsidRPr="009D3B20">
        <w:rPr>
          <w:i/>
        </w:rPr>
        <w:t>**</w:t>
      </w:r>
      <w:r w:rsidR="00412809" w:rsidRPr="009D3B20">
        <w:rPr>
          <w:i/>
        </w:rPr>
        <w:t xml:space="preserve"> и преднизолоном</w:t>
      </w:r>
      <w:r w:rsidR="007E7259" w:rsidRPr="009D3B20">
        <w:rPr>
          <w:i/>
        </w:rPr>
        <w:t>**</w:t>
      </w:r>
      <w:r w:rsidR="00412809" w:rsidRPr="009D3B20">
        <w:rPr>
          <w:i/>
        </w:rPr>
        <w:t xml:space="preserve"> (VMP) у пациентов с впервые диагностированной ММ</w:t>
      </w:r>
      <w:r w:rsidR="00F024AA" w:rsidRPr="00F024AA">
        <w:rPr>
          <w:i/>
        </w:rPr>
        <w:t xml:space="preserve"> </w:t>
      </w:r>
      <w:r w:rsidR="00A96FB6">
        <w:rPr>
          <w:i/>
        </w:rPr>
        <w:fldChar w:fldCharType="begin" w:fldLock="1"/>
      </w:r>
      <w:r w:rsidR="00267DE2">
        <w:rPr>
          <w:i/>
        </w:rPr>
        <w:instrText>ADDIN CSL_CITATION {"citationItems":[{"id":"ITEM-1","itemData":{"DOI":"10.1200/JCO.2009.26.0638","ISSN":"0732183X","abstract":"PURPOSE: The purpose of this study was to confirm overall survival (OS) and other clinical benefits with bortezomib, melphalan, and prednisone (VMP) versus melphalan and prednisone (MP) in the phase III VISTA (Velcade as Initial Standard Therapy in Multiple Myeloma) trial after prolonged follow-up, and evaluate the impact of subsequent therapies.\\n\\nPATIENTS AND METHODS: Previously untreated symptomatic patients with myeloma ineligible for high-dose therapy received up to nine 6-week cycles of VMP (n = 344) or MP (n = 338).\\n\\nRESULTS: With a median follow-up of 36.7 months, there was a 35% reduced risk of death with VMP versus MP (hazard ratio, 0.653; P &lt; .001); median OS was not reached with VMP versus 43 months with MP; 3-year OS rates were 68.5% versus 54.0%. Response rates to subsequent thalidomide- (41% v 53%) and lenalidomide-based therapies (59% v 52%) appeared similar after VMP or MP; response rates to subsequent bortezomib-based therapy were 47% versus 59%. Among patients treated with VMP (n = 178) and MP (n = 233), median survival from start of subsequent therapy was 30.2 and 21.9 months, respectively, and there was no difference in survival from salvage among patients who received subsequent bortezomib, thalidomide, or lenalidomide. Rates of adverse events were higher with VMP versus MP during cycles 1 to 4, but similar during cycles 5 to 9. With VMP, 79% of peripheral neuropathy events improved within a median of 1.9 months; 60% completely resolved within a median of 5.7 months.\\n\\nCONCLUSION: VMP significantly prolongs OS versus MP after lengthy follow-up and extensive subsequent antimyeloma therapy. First-line bortezomib use does not induce more resistant relapse. VMP used upfront appears more beneficial than first treating with conventional agents and saving bortezomib- and other novel agent-based treatment until relapse.","author":[{"dropping-particle":"","family":"Mateos","given":"Maria Victoria","non-dropping-particle":"","parse-names":false,"suffix":""},{"dropping-particle":"","family":"Richardson","given":"Paul G.","non-dropping-particle":"","parse-names":false,"suffix":""},{"dropping-particle":"","family":"Schlag","given":"Rudolf","non-dropping-particle":"","parse-names":false,"suffix":""},{"dropping-particle":"","family":"Khuageva","given":"Nuriet K.","non-dropping-particle":"","parse-names":false,"suffix":""},{"dropping-particle":"","family":"Dimopoulos","given":"Meletios A.","non-dropping-particle":"","parse-names":false,"suffix":""},{"dropping-particle":"","family":"Shpilberg","given":"Ofer","non-dropping-particle":"","parse-names":false,"suffix":""},{"dropping-particle":"","family":"Kropff","given":"Martin","non-dropping-particle":"","parse-names":false,"suffix":""},{"dropping-particle":"","family":"Spicka","given":"Ivan","non-dropping-particle":"","parse-names":false,"suffix":""},{"dropping-particle":"","family":"Petrucci","given":"Maria T.","non-dropping-particle":"","parse-names":false,"suffix":""},{"dropping-particle":"","family":"Palumbo","given":"Antonio","non-dropping-particle":"","parse-names":false,"suffix":""},{"dropping-particle":"","family":"Samoilova","given":"Olga S.","non-dropping-particle":"","parse-names":false,"suffix":""},{"dropping-particle":"","family":"Dmoszynska","given":"Anna","non-dropping-particle":"","parse-names":false,"suffix":""},{"dropping-particle":"","family":"Abdulkadyrov","given":"Kudrat M.","non-dropping-particle":"","parse-names":false,"suffix":""},{"dropping-particle":"","family":"Schots","given":"Rik","non-dropping-particle":"","parse-names":false,"suffix":""},{"dropping-particle":"","family":"Jiang","given":"Bin","non-dropping-particle":"","parse-names":false,"suffix":""},{"dropping-particle":"","family":"Esseltine","given":"Dixie L.","non-dropping-particle":"","parse-names":false,"suffix":""},{"dropping-particle":"","family":"Liu","given":"Kevin","non-dropping-particle":"","parse-names":false,"suffix":""},{"dropping-particle":"","family":"Cakana","given":"Andrew","non-dropping-particle":"","parse-names":false,"suffix":""},{"dropping-particle":"","family":"Velde","given":"Helgi","non-dropping-particle":"Van De","parse-names":false,"suffix":""},{"dropping-particle":"","family":"San Miguel","given":"Jesús F.","non-dropping-particle":"","parse-names":false,"suffix":""}],"container-title":"Journal of Clinical Oncology","id":"ITEM-1","issue":"13","issued":{"date-parts":[["2010","5","1"]]},"page":"2259-2266","title":"Bortezomib plus melphalan and prednisone compared with melphalan and prednisone in previously untreated multiple myeloma: Updated follow-up and impact of subsequent therapy in the phase III VISTA trial","type":"article-journal","volume":"28"},"uris":["http://www.mendeley.com/documents/?uuid=5e3665b1-01e8-3ade-b0e4-ea55ab8ea8bf"]}],"mendeley":{"formattedCitation":"[27]","plainTextFormattedCitation":"[27]","previouslyFormattedCitation":"[27]"},"properties":{"noteIndex":0},"schema":"https://github.com/citation-style-language/schema/raw/master/csl-citation.json"}</w:instrText>
      </w:r>
      <w:r w:rsidR="00A96FB6">
        <w:rPr>
          <w:i/>
        </w:rPr>
        <w:fldChar w:fldCharType="separate"/>
      </w:r>
      <w:r w:rsidR="000D22CF" w:rsidRPr="000D22CF">
        <w:rPr>
          <w:noProof/>
        </w:rPr>
        <w:t>[27]</w:t>
      </w:r>
      <w:r w:rsidR="00A96FB6">
        <w:rPr>
          <w:i/>
        </w:rPr>
        <w:fldChar w:fldCharType="end"/>
      </w:r>
      <w:r w:rsidR="00412809" w:rsidRPr="009D3B20">
        <w:rPr>
          <w:i/>
        </w:rPr>
        <w:t xml:space="preserve">. Значительное преимущество </w:t>
      </w:r>
      <w:r w:rsidR="000F1774" w:rsidRPr="00F024AA">
        <w:rPr>
          <w:i/>
        </w:rPr>
        <w:t xml:space="preserve">схемы </w:t>
      </w:r>
      <w:r w:rsidR="00412809" w:rsidRPr="009D3B20">
        <w:rPr>
          <w:i/>
        </w:rPr>
        <w:t>VMP по сравнению с МР, включая общую эффективность, частоту полных ремиссий (ПР), время до прогрессирования (ВДП), общую выживаемость (ОВ)</w:t>
      </w:r>
      <w:r w:rsidR="004D7759">
        <w:rPr>
          <w:i/>
        </w:rPr>
        <w:t>,</w:t>
      </w:r>
      <w:r w:rsidR="00F024AA" w:rsidRPr="00F024AA">
        <w:rPr>
          <w:i/>
        </w:rPr>
        <w:t xml:space="preserve"> </w:t>
      </w:r>
      <w:r w:rsidR="000F1774" w:rsidRPr="00F024AA">
        <w:rPr>
          <w:i/>
        </w:rPr>
        <w:t>позволило рассматривать схему</w:t>
      </w:r>
      <w:r w:rsidR="000F1774">
        <w:rPr>
          <w:i/>
        </w:rPr>
        <w:t xml:space="preserve"> </w:t>
      </w:r>
      <w:r w:rsidR="00412809" w:rsidRPr="009D3B20">
        <w:rPr>
          <w:i/>
        </w:rPr>
        <w:t xml:space="preserve">VMP в качестве современной стандартной терапии </w:t>
      </w:r>
      <w:r w:rsidR="004D7759">
        <w:rPr>
          <w:i/>
        </w:rPr>
        <w:t>1-</w:t>
      </w:r>
      <w:r w:rsidR="00412809" w:rsidRPr="009D3B20">
        <w:rPr>
          <w:i/>
        </w:rPr>
        <w:t xml:space="preserve">й линии </w:t>
      </w:r>
      <w:r w:rsidR="00FB03BB" w:rsidRPr="009D3B20">
        <w:rPr>
          <w:i/>
        </w:rPr>
        <w:t>пациентов</w:t>
      </w:r>
      <w:r w:rsidR="000F1774">
        <w:rPr>
          <w:i/>
        </w:rPr>
        <w:t xml:space="preserve"> </w:t>
      </w:r>
      <w:r w:rsidR="000F1774" w:rsidRPr="00F024AA">
        <w:rPr>
          <w:i/>
        </w:rPr>
        <w:t xml:space="preserve">с </w:t>
      </w:r>
      <w:r w:rsidR="00412809" w:rsidRPr="009D3B20">
        <w:rPr>
          <w:i/>
        </w:rPr>
        <w:t>ММ, которым не планируется проведение ВДХТ с ауто</w:t>
      </w:r>
      <w:r w:rsidR="00267DE2">
        <w:rPr>
          <w:i/>
        </w:rPr>
        <w:t>-</w:t>
      </w:r>
      <w:r w:rsidR="00412809" w:rsidRPr="009D3B20">
        <w:rPr>
          <w:i/>
        </w:rPr>
        <w:t>ТГСК.</w:t>
      </w:r>
      <w:r w:rsidR="00412809" w:rsidRPr="00412809">
        <w:rPr>
          <w:i/>
        </w:rPr>
        <w:t xml:space="preserve"> Продолжительность лечения по схеме VMP должна составлять не менее 9 циклов.</w:t>
      </w:r>
    </w:p>
    <w:p w:rsidR="00412809" w:rsidRPr="00412809" w:rsidRDefault="00412809" w:rsidP="00131E36">
      <w:pPr>
        <w:spacing w:before="0" w:after="0"/>
        <w:ind w:left="709"/>
        <w:contextualSpacing/>
        <w:rPr>
          <w:i/>
        </w:rPr>
      </w:pPr>
      <w:r w:rsidRPr="00DE0BC0">
        <w:rPr>
          <w:i/>
        </w:rPr>
        <w:t xml:space="preserve">В двух рандомизированных исследованиях </w:t>
      </w:r>
      <w:r w:rsidR="004D7759">
        <w:rPr>
          <w:i/>
          <w:lang w:val="en-US"/>
        </w:rPr>
        <w:t>III</w:t>
      </w:r>
      <w:r w:rsidRPr="00DE0BC0">
        <w:rPr>
          <w:i/>
        </w:rPr>
        <w:t xml:space="preserve"> фазы было показано, что еженедельное введение бортезомиба</w:t>
      </w:r>
      <w:r w:rsidR="007E7259" w:rsidRPr="00DE0BC0">
        <w:rPr>
          <w:i/>
        </w:rPr>
        <w:t>**</w:t>
      </w:r>
      <w:r w:rsidRPr="00DE0BC0">
        <w:rPr>
          <w:i/>
        </w:rPr>
        <w:t xml:space="preserve"> вместо введения препарата </w:t>
      </w:r>
      <w:r w:rsidR="004D7759">
        <w:rPr>
          <w:i/>
        </w:rPr>
        <w:t>2 раза</w:t>
      </w:r>
      <w:r w:rsidRPr="00DE0BC0">
        <w:rPr>
          <w:i/>
        </w:rPr>
        <w:t xml:space="preserve"> в неделю не снижает эффективности лечения, но позволяет значительно уменьшить частоту развития периферической полинейропатии</w:t>
      </w:r>
      <w:r w:rsidR="00F024AA" w:rsidRPr="00F024AA">
        <w:rPr>
          <w:i/>
        </w:rPr>
        <w:t xml:space="preserve"> </w:t>
      </w:r>
      <w:r w:rsidR="00A96FB6">
        <w:rPr>
          <w:i/>
        </w:rPr>
        <w:fldChar w:fldCharType="begin" w:fldLock="1"/>
      </w:r>
      <w:r w:rsidR="00267DE2">
        <w:rPr>
          <w:i/>
        </w:rPr>
        <w:instrText>ADDIN CSL_CITATION {"citationItems":[{"id":"ITEM-1","itemData":{"DOI":"10.1182/blood-2010-07-294983","ISSN":"1528-0020","PMID":"20807892","abstract":"In a recent phase 3 trial, bortezomib-melphalan-prednisone-thalidomide followed by maintenance treatment with bortezomib-thalidomide demonstrated superior efficacy compared with bortezomib-melphalan-prednisone. To decrease neurologic toxicities, the protocol was amended and patients in both arms received once-weekly instead of the initial twice-weekly bortezomib infusions: 372 patients received once-weekly and 139 twice-weekly bortezomib. In this post-hoc analysis we assessed the impact of the schedule change on clinical outcomes and safety. Long-term outcomes appeared similar: 3-year progression-free survival rate was 50% in the once-weekly and 47% in the twice-weekly group (P &gt; .999), and 3-year overall survival rate was 88% and 89%, respectively (P = .54). The complete response rate was 30% in the once-weekly and 35% in the twice-weekly group (P = .27). Nonhematologic grade 3/4 adverse events were reported in 35% of once-weekly patients and 51% of twice-weekly patients (P = .003). The incidence of grade 3/4 peripheral neuropathy was 8% in the once-weekly and 28% in the twice-weekly group (P &lt; .001); 5% of patients in the once-weekly and 15% in the twice-weekly group discontinued therapy because of peripheral neuropathy (P &lt; .001). This improvement in safety did not appear to affect efficacy. This study is registered at http://www.clinicaltrials.gov as NCT01063179.","author":[{"dropping-particle":"","family":"Bringhen","given":"Sara","non-dropping-particle":"","parse-names":false,"suffix":""},{"dropping-particle":"","family":"Larocca","given":"Alessandra","non-dropping-particle":"","parse-names":false,"suffix":""},{"dropping-particle":"","family":"Rossi","given":"Davide","non-dropping-particle":"","parse-names":false,"suffix":""},{"dropping-particle":"","family":"Cavalli","given":"Maide","non-dropping-particle":"","parse-names":false,"suffix":""},{"dropping-particle":"","family":"Genuardi","given":"Mariella","non-dropping-particle":"","parse-names":false,"suffix":""},{"dropping-particle":"","family":"Ria","given":"Roberto","non-dropping-particle":"","parse-names":false,"suffix":""},{"dropping-particle":"","family":"Gentili","given":"Silvia","non-dropping-particle":"","parse-names":false,"suffix":""},{"dropping-particle":"","family":"Patriarca","given":"Francesca","non-dropping-particle":"","parse-names":false,"suffix":""},{"dropping-particle":"","family":"Nozzoli","given":"Chiara","non-dropping-particle":"","parse-names":false,"suffix":""},{"dropping-particle":"","family":"Levi","given":"Anna","non-dropping-particle":"","parse-names":false,"suffix":""},{"dropping-particle":"","family":"Guglielmelli","given":"Tommasina","non-dropping-particle":"","parse-names":false,"suffix":""},{"dropping-particle":"","family":"Benevolo","given":"Giulia","non-dropping-particle":"","parse-names":false,"suffix":""},{"dropping-particle":"","family":"Callea","given":"Vincenzo","non-dropping-particle":"","parse-names":false,"suffix":""},{"dropping-particle":"","family":"Rizzo","given":"Vincenzo","non-dropping-particle":"","parse-names":false,"suffix":""},{"dropping-particle":"","family":"Cangialosi","given":"Clotilde","non-dropping-particle":"","parse-names":false,"suffix":""},{"dropping-particle":"","family":"Musto","given":"Pellegrino","non-dropping-particle":"","parse-names":false,"suffix":""},{"dropping-particle":"","family":"Rosa","given":"Luca","non-dropping-particle":"De","parse-names":false,"suffix":""},{"dropping-particle":"","family":"Liberati","given":"Anna Marina","non-dropping-particle":"","parse-names":false,"suffix":""},{"dropping-particle":"","family":"Grasso","given":"Mariella","non-dropping-particle":"","parse-names":false,"suffix":""},{"dropping-particle":"","family":"Falcone","given":"Antonietta P","non-dropping-particle":"","parse-names":false,"suffix":""},{"dropping-particle":"","family":"Evangelista","given":"Andrea","non-dropping-particle":"","parse-names":false,"suffix":""},{"dropping-particle":"","family":"Cavo","given":"Michele","non-dropping-particle":"","parse-names":false,"suffix":""},{"dropping-particle":"","family":"Gaidano","given":"Gianluca","non-dropping-particle":"","parse-names":false,"suffix":""},{"dropping-particle":"","family":"Boccadoro","given":"Mario","non-dropping-particle":"","parse-names":false,"suffix":""},{"dropping-particle":"","family":"Palumbo","given":"Antonio","non-dropping-particle":"","parse-names":false,"suffix":""}],"container-title":"Blood","id":"ITEM-1","issue":"23","issued":{"date-parts":[["2010","12","2"]]},"page":"4745-53","title":"Efficacy and safety of once-weekly bortezomib in multiple myeloma patients.","type":"article-journal","volume":"116"},"uris":["http://www.mendeley.com/documents/?uuid=e6a9d271-f103-3d6b-8205-fac656246f9e"]},{"id":"ITEM-2","itemData":{"author":[{"dropping-particle":"","family":"Takezako","given":"Naoki","non-dropping-particle":"","parse-names":false,"suffix":""},{"dropping-particle":"","family":"Tokuhira","given":"Michihide","non-dropping-particle":"","parse-names":false,"suffix":""},{"dropping-particle":"","family":"Sekiguchi","given":"Naohiro","non-dropping-particle":"","parse-names":false,"suffix":""},{"dropping-particle":"","family":"Kurihara","given":"Yuya","non-dropping-particle":"","parse-names":false,"suffix":""},{"dropping-particle":"","family":"Ito","given":"Kenichi","non-dropping-particle":"","parse-names":false,"suffix":""},{"dropping-particle":"","family":"Kurimoto","given":"Miwa","non-dropping-particle":"","parse-names":false,"suffix":""},{"dropping-particle":"","family":"Suzuki","given":"Kenshi","non-dropping-particle":"","parse-names":false,"suffix":""},{"dropping-particle":"","family":"Kizaki","given":"Masahiro","non-dropping-particle":"","parse-names":false,"suffix":""}],"container-title":"Blood","id":"ITEM-2","issue":"22","issued":{"date-parts":[["2016"]]},"title":"The Efficacy and Safety of Weekly Bortezomib Containing VMP Followed By Bortezomib Maintenance Therapy in Unfit or Frail Multiple Myeloma Patients","type":"article-journal","volume":"128"},"uris":["http://www.mendeley.com/documents/?uuid=54874430-49bc-3eca-818e-5fd25d8a1181"]}],"mendeley":{"formattedCitation":"[28,29]","plainTextFormattedCitation":"[28,29]","previouslyFormattedCitation":"[28,29]"},"properties":{"noteIndex":0},"schema":"https://github.com/citation-style-language/schema/raw/master/csl-citation.json"}</w:instrText>
      </w:r>
      <w:r w:rsidR="00A96FB6">
        <w:rPr>
          <w:i/>
        </w:rPr>
        <w:fldChar w:fldCharType="separate"/>
      </w:r>
      <w:r w:rsidR="000D22CF" w:rsidRPr="000D22CF">
        <w:rPr>
          <w:noProof/>
        </w:rPr>
        <w:t>[28,29]</w:t>
      </w:r>
      <w:r w:rsidR="00A96FB6">
        <w:rPr>
          <w:i/>
        </w:rPr>
        <w:fldChar w:fldCharType="end"/>
      </w:r>
      <w:r w:rsidRPr="00486AB9">
        <w:rPr>
          <w:i/>
        </w:rPr>
        <w:t>.</w:t>
      </w:r>
      <w:r w:rsidRPr="00412809">
        <w:rPr>
          <w:i/>
        </w:rPr>
        <w:t xml:space="preserve"> Программу VMP с введением бортезомиба</w:t>
      </w:r>
      <w:r w:rsidR="007E7259">
        <w:rPr>
          <w:i/>
        </w:rPr>
        <w:t>**</w:t>
      </w:r>
      <w:r w:rsidRPr="00412809">
        <w:rPr>
          <w:i/>
        </w:rPr>
        <w:t xml:space="preserve"> 1 раз </w:t>
      </w:r>
      <w:r w:rsidR="004D7759">
        <w:rPr>
          <w:i/>
        </w:rPr>
        <w:t xml:space="preserve">в </w:t>
      </w:r>
      <w:r w:rsidRPr="00412809">
        <w:rPr>
          <w:i/>
        </w:rPr>
        <w:t xml:space="preserve">неделю рекомендуется использовать у пожилых пациентов ММ как предпочтительную. </w:t>
      </w:r>
    </w:p>
    <w:p w:rsidR="00412809" w:rsidRPr="00412809" w:rsidRDefault="00412809" w:rsidP="00131E36">
      <w:pPr>
        <w:spacing w:before="0" w:after="0"/>
        <w:ind w:left="709"/>
        <w:contextualSpacing/>
        <w:rPr>
          <w:i/>
        </w:rPr>
      </w:pPr>
      <w:r w:rsidRPr="00412809">
        <w:rPr>
          <w:i/>
        </w:rPr>
        <w:t>С целью уменьшения побочных эффектов бортезомиба</w:t>
      </w:r>
      <w:r w:rsidR="007E7259">
        <w:rPr>
          <w:i/>
        </w:rPr>
        <w:t>**</w:t>
      </w:r>
      <w:r w:rsidRPr="00412809">
        <w:rPr>
          <w:i/>
        </w:rPr>
        <w:t xml:space="preserve"> при появлении признаков токсичности необходима своевременная редукция дозы препарата. Кроме того, подкожное введение бортезомиба</w:t>
      </w:r>
      <w:r w:rsidR="007E7259">
        <w:rPr>
          <w:i/>
        </w:rPr>
        <w:t>**</w:t>
      </w:r>
      <w:r w:rsidRPr="00412809">
        <w:rPr>
          <w:i/>
        </w:rPr>
        <w:t xml:space="preserve"> вместо внутривенного существенно снижает частоту развития нежелательных явлений.</w:t>
      </w:r>
    </w:p>
    <w:p w:rsidR="00412809" w:rsidRPr="006D0F6C" w:rsidRDefault="00412809" w:rsidP="00131E36">
      <w:pPr>
        <w:spacing w:before="0" w:after="0"/>
        <w:ind w:left="709"/>
        <w:contextualSpacing/>
        <w:rPr>
          <w:i/>
          <w:strike/>
        </w:rPr>
      </w:pPr>
      <w:r w:rsidRPr="00412809">
        <w:rPr>
          <w:i/>
        </w:rPr>
        <w:t xml:space="preserve">Высокоэффективным методом ведения </w:t>
      </w:r>
      <w:r w:rsidR="006714D9">
        <w:rPr>
          <w:i/>
        </w:rPr>
        <w:t>«</w:t>
      </w:r>
      <w:r w:rsidRPr="00412809">
        <w:rPr>
          <w:i/>
        </w:rPr>
        <w:t>первичных</w:t>
      </w:r>
      <w:r w:rsidR="006714D9">
        <w:rPr>
          <w:i/>
        </w:rPr>
        <w:t>»</w:t>
      </w:r>
      <w:r w:rsidRPr="00412809">
        <w:rPr>
          <w:i/>
        </w:rPr>
        <w:t xml:space="preserve"> </w:t>
      </w:r>
      <w:r w:rsidR="00FB03BB" w:rsidRPr="00FB03BB">
        <w:rPr>
          <w:i/>
        </w:rPr>
        <w:t>пациентов</w:t>
      </w:r>
      <w:r w:rsidR="00DE0BC0">
        <w:rPr>
          <w:i/>
        </w:rPr>
        <w:t xml:space="preserve"> </w:t>
      </w:r>
      <w:r w:rsidRPr="00412809">
        <w:rPr>
          <w:i/>
        </w:rPr>
        <w:t>ММ является сочетание бортезомиба</w:t>
      </w:r>
      <w:r w:rsidR="007E7259">
        <w:rPr>
          <w:i/>
        </w:rPr>
        <w:t>**</w:t>
      </w:r>
      <w:r w:rsidRPr="00412809">
        <w:rPr>
          <w:i/>
        </w:rPr>
        <w:t xml:space="preserve"> с дексаметазоном</w:t>
      </w:r>
      <w:r w:rsidR="007E7259">
        <w:rPr>
          <w:i/>
        </w:rPr>
        <w:t>**</w:t>
      </w:r>
      <w:r w:rsidRPr="00412809">
        <w:rPr>
          <w:i/>
        </w:rPr>
        <w:t xml:space="preserve"> (VD)</w:t>
      </w:r>
      <w:r w:rsidR="00463342" w:rsidRPr="00463342">
        <w:rPr>
          <w:i/>
        </w:rPr>
        <w:t xml:space="preserve"> </w:t>
      </w:r>
      <w:r w:rsidR="00A96FB6">
        <w:rPr>
          <w:i/>
        </w:rPr>
        <w:fldChar w:fldCharType="begin" w:fldLock="1"/>
      </w:r>
      <w:r w:rsidR="00267DE2">
        <w:rPr>
          <w:i/>
        </w:rPr>
        <w:instrText>ADDIN CSL_CITATION {"citationItems":[{"id":"ITEM-1","itemData":{"DOI":"10.1111/j.1365-2141.2009.07803.x","ISSN":"1365-2141","PMID":"19622094","abstract":"High-quality response to multiple myeloma (MM) therapy can be predictive for improved outcomes. Novel agents may improve the depth of responses and therefore prolong survival. We report on the extended follow-up of a phase II study in frontline MM of bortezomib alone and in combination with dexamethasone. Forty-nine previously untreated, symptomatic MM patients received bortezomib 1.3 mg/m(2), days 1, 4, 8, 11, for up to six 3-week cycles. High-dose dexamethasone was added for patients not reaching either a partial response after cycle 2 or a complete response (CR) after cycle 4. The overall response rate in 48 evaluable patients was 90%, with 42% achieving at least a very good partial response, of which 19% were CR/near CR. Thirty-six patients received high-dose dexamethasone with 28 (77%) showing improved response. Twenty-seven patients have undergone successful stem-cell transplantation (SCT). After median follow-up of 49 months, 15 patients have died; median overall survival has still not been reached, with an estimated survival at 4 years of 67%. Overall survival with and without SCT was not different (P = 0.54). Grade 3/4 adverse events included neutropenia (10%), sensory neuropathy (6% grade 3), neuropathic pain (4% grade 3), and diarrhoea (4% grade 3). Bortezomib +/- dexamethasone is an effective and well-tolerated induction regimen for the frontline treatment of MM.","author":[{"dropping-particle":"","family":"Jagannath","given":"Sundar","non-dropping-particle":"","parse-names":false,"suffix":""},{"dropping-particle":"","family":"Durie","given":"Brian G M","non-dropping-particle":"","parse-names":false,"suffix":""},{"dropping-particle":"","family":"Wolf","given":"Jeffrey Lee","non-dropping-particle":"","parse-names":false,"suffix":""},{"dropping-particle":"","family":"Camacho","given":"Elber S","non-dropping-particle":"","parse-names":false,"suffix":""},{"dropping-particle":"","family":"Irwin","given":"David","non-dropping-particle":"","parse-names":false,"suffix":""},{"dropping-particle":"","family":"Lutzky","given":"Jose","non-dropping-particle":"","parse-names":false,"suffix":""},{"dropping-particle":"","family":"McKinley","given":"Marti","non-dropping-particle":"","parse-names":false,"suffix":""},{"dropping-particle":"","family":"Potts","given":"Phyllis","non-dropping-particle":"","parse-names":false,"suffix":""},{"dropping-particle":"","family":"Gabayan","given":"Afshin Eli","non-dropping-particle":"","parse-names":false,"suffix":""},{"dropping-particle":"","family":"Mazumder","given":"Amitabha","non-dropping-particle":"","parse-names":false,"suffix":""},{"dropping-particle":"","family":"Crowley","given":"John","non-dropping-particle":"","parse-names":false,"suffix":""},{"dropping-particle":"","family":"Vescio","given":"Robert","non-dropping-particle":"","parse-names":false,"suffix":""}],"container-title":"British journal of haematology","id":"ITEM-1","issue":"6","issued":{"date-parts":[["2009","9"]]},"page":"619-26","title":"Extended follow-up of a phase 2 trial of bortezomib alone and in combination with dexamethasone for the frontline treatment of multiple myeloma.","type":"article-journal","volume":"146"},"uris":["http://www.mendeley.com/documents/?uuid=55a5816c-f84d-3cc7-a018-411236af8b9b"]}],"mendeley":{"formattedCitation":"[30]","plainTextFormattedCitation":"[30]","previouslyFormattedCitation":"[30]"},"properties":{"noteIndex":0},"schema":"https://github.com/citation-style-language/schema/raw/master/csl-citation.json"}</w:instrText>
      </w:r>
      <w:r w:rsidR="00A96FB6">
        <w:rPr>
          <w:i/>
        </w:rPr>
        <w:fldChar w:fldCharType="separate"/>
      </w:r>
      <w:r w:rsidR="000D22CF" w:rsidRPr="000D22CF">
        <w:rPr>
          <w:noProof/>
        </w:rPr>
        <w:t>[30]</w:t>
      </w:r>
      <w:r w:rsidR="00A96FB6">
        <w:rPr>
          <w:i/>
        </w:rPr>
        <w:fldChar w:fldCharType="end"/>
      </w:r>
      <w:r w:rsidRPr="00412809">
        <w:rPr>
          <w:i/>
        </w:rPr>
        <w:t xml:space="preserve">. </w:t>
      </w:r>
    </w:p>
    <w:p w:rsidR="004D7374" w:rsidRDefault="00412809" w:rsidP="00131E36">
      <w:pPr>
        <w:spacing w:before="0" w:after="0"/>
        <w:ind w:left="709"/>
        <w:contextualSpacing/>
      </w:pPr>
      <w:r w:rsidRPr="00412809">
        <w:rPr>
          <w:i/>
        </w:rPr>
        <w:t>Поддерживающая терапия бортезомибом</w:t>
      </w:r>
      <w:r w:rsidR="007E7259">
        <w:rPr>
          <w:i/>
        </w:rPr>
        <w:t>**</w:t>
      </w:r>
      <w:r w:rsidRPr="00412809">
        <w:rPr>
          <w:i/>
        </w:rPr>
        <w:t xml:space="preserve"> увеличивает частоту ПР, выживаемость без прогрессирования (ВБП) и ВДП. Поскольку убедительных данных об увеличении ОВ нет, согласно рекомендациям ESMO поддержи</w:t>
      </w:r>
      <w:r w:rsidR="009421BC">
        <w:rPr>
          <w:i/>
        </w:rPr>
        <w:t xml:space="preserve">вающая терапия у пожилых пациентов </w:t>
      </w:r>
      <w:r w:rsidRPr="00412809">
        <w:rPr>
          <w:i/>
        </w:rPr>
        <w:t>не рекомендуется</w:t>
      </w:r>
      <w:r w:rsidR="00463342" w:rsidRPr="00463342">
        <w:rPr>
          <w:i/>
        </w:rPr>
        <w:t xml:space="preserve"> </w:t>
      </w:r>
      <w:r w:rsidR="00A96FB6">
        <w:rPr>
          <w:i/>
        </w:rPr>
        <w:fldChar w:fldCharType="begin" w:fldLock="1"/>
      </w:r>
      <w:r w:rsidR="00463342">
        <w:rPr>
          <w:i/>
        </w:rPr>
        <w:instrText>ADDIN CSL_CITATION {"citationItems":[{"id":"ITEM-1","itemData":{"DOI":"10.1093/annonc/mdx096","ISSN":"1569-8041","PMID":"28453614","author":[{"dropping-particle":"","family":"Moreau","given":"P","non-dropping-particle":"","parse-names":false,"suffix":""},{"dropping-particle":"","family":"San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Oncology","id":"ITEM-1","issue":"suppl_4","issued":{"date-parts":[["2017","7","1"]]},"page":"iv52-iv61","title":"Multiple myeloma: ESMO Clinical Practice Guidelines for diagnosis, treatment and follow-up.","type":"article-journal","volume":"28"},"uris":["http://www.mendeley.com/documents/?uuid=e710540c-71bd-39f6-a6ad-aa95562089c3"]}],"mendeley":{"formattedCitation":"[15]","plainTextFormattedCitation":"[15]","previouslyFormattedCitation":"[15]"},"properties":{"noteIndex":0},"schema":"https://github.com/citation-style-language/schema/raw/master/csl-citation.json"}</w:instrText>
      </w:r>
      <w:r w:rsidR="00A96FB6">
        <w:rPr>
          <w:i/>
        </w:rPr>
        <w:fldChar w:fldCharType="separate"/>
      </w:r>
      <w:r w:rsidR="00463342" w:rsidRPr="00463342">
        <w:rPr>
          <w:noProof/>
        </w:rPr>
        <w:t>[15]</w:t>
      </w:r>
      <w:r w:rsidR="00A96FB6">
        <w:rPr>
          <w:i/>
        </w:rPr>
        <w:fldChar w:fldCharType="end"/>
      </w:r>
      <w:r w:rsidRPr="00412809">
        <w:rPr>
          <w:i/>
        </w:rPr>
        <w:t>.</w:t>
      </w:r>
      <w:r w:rsidR="004D7374">
        <w:tab/>
      </w:r>
    </w:p>
    <w:p w:rsidR="004D7374" w:rsidRPr="00F05D88" w:rsidRDefault="00235423" w:rsidP="00131E36">
      <w:pPr>
        <w:pStyle w:val="a5"/>
        <w:numPr>
          <w:ilvl w:val="0"/>
          <w:numId w:val="5"/>
        </w:numPr>
        <w:spacing w:before="0" w:after="0"/>
        <w:ind w:left="709" w:hanging="709"/>
      </w:pPr>
      <w:r w:rsidRPr="00235423">
        <w:t>Пациентам с впервые диагностированной ММ – не кандидатам на ВДХТ с ауто</w:t>
      </w:r>
      <w:r w:rsidR="00267DE2">
        <w:t>-</w:t>
      </w:r>
      <w:r w:rsidRPr="00235423">
        <w:t>ТГСК</w:t>
      </w:r>
      <w:r w:rsidR="004A1BD3">
        <w:t xml:space="preserve"> −</w:t>
      </w:r>
      <w:r w:rsidR="00BE70BE">
        <w:t xml:space="preserve"> </w:t>
      </w:r>
      <w:r w:rsidR="00E05D8E">
        <w:t xml:space="preserve">в качестве альтернативной опции, </w:t>
      </w:r>
      <w:r w:rsidR="00E05D8E" w:rsidRPr="00890289">
        <w:rPr>
          <w:color w:val="000000"/>
        </w:rPr>
        <w:t xml:space="preserve">а также при наличии противопоказаний </w:t>
      </w:r>
      <w:r w:rsidR="00E05D8E" w:rsidRPr="00890289">
        <w:rPr>
          <w:color w:val="000000"/>
        </w:rPr>
        <w:lastRenderedPageBreak/>
        <w:t xml:space="preserve">к применению </w:t>
      </w:r>
      <w:r w:rsidRPr="00890289">
        <w:rPr>
          <w:color w:val="000000"/>
        </w:rPr>
        <w:t>бортезомиб</w:t>
      </w:r>
      <w:r w:rsidR="00E05D8E" w:rsidRPr="00890289">
        <w:rPr>
          <w:color w:val="000000"/>
        </w:rPr>
        <w:t>а</w:t>
      </w:r>
      <w:r w:rsidR="00EA795A" w:rsidRPr="00890289">
        <w:rPr>
          <w:color w:val="000000"/>
        </w:rPr>
        <w:t>**</w:t>
      </w:r>
      <w:r w:rsidR="003369B4">
        <w:t xml:space="preserve"> </w:t>
      </w:r>
      <w:r w:rsidR="003703A8">
        <w:rPr>
          <w:b/>
        </w:rPr>
        <w:t>рекомендуется</w:t>
      </w:r>
      <w:r w:rsidR="004D7374">
        <w:t xml:space="preserve"> проведение </w:t>
      </w:r>
      <w:r>
        <w:t xml:space="preserve">терапии </w:t>
      </w:r>
      <w:r w:rsidR="009B7849">
        <w:t>к</w:t>
      </w:r>
      <w:r>
        <w:t>омбинациями с включением леналидомида</w:t>
      </w:r>
      <w:r w:rsidR="00EA795A">
        <w:t>**</w:t>
      </w:r>
      <w:r w:rsidR="00E54555">
        <w:t xml:space="preserve"> (</w:t>
      </w:r>
      <w:r w:rsidR="00E54555">
        <w:rPr>
          <w:lang w:val="en-US"/>
        </w:rPr>
        <w:t>Rd</w:t>
      </w:r>
      <w:r w:rsidR="00E54555" w:rsidRPr="00E54555">
        <w:t xml:space="preserve">, </w:t>
      </w:r>
      <w:r w:rsidR="00E54555">
        <w:rPr>
          <w:lang w:val="en-US"/>
        </w:rPr>
        <w:t>MPR</w:t>
      </w:r>
      <w:r w:rsidR="00E54555" w:rsidRPr="00E54555">
        <w:t>)</w:t>
      </w:r>
      <w:r w:rsidR="00DA70E3">
        <w:t xml:space="preserve"> (описание режимов – см. приложение </w:t>
      </w:r>
      <w:r w:rsidR="00C812D6">
        <w:t>А3.1</w:t>
      </w:r>
      <w:r w:rsidR="004A1BD3">
        <w:t>.</w:t>
      </w:r>
      <w:r w:rsidR="00DA70E3">
        <w:t>)</w:t>
      </w:r>
      <w:r w:rsidR="00463342" w:rsidRPr="00463342">
        <w:t xml:space="preserve"> </w:t>
      </w:r>
      <w:r w:rsidR="00A96FB6" w:rsidRPr="00D62DF3">
        <w:fldChar w:fldCharType="begin" w:fldLock="1"/>
      </w:r>
      <w:r w:rsidR="00267DE2" w:rsidRPr="00D62DF3">
        <w:instrText>ADDIN CSL_CITATION {"citationItems":[{"id":"ITEM-1","itemData":{"DOI":"10.3109/10428194.2013.847935","ISSN":"1029-2403","PMID":"24067138","abstract":"The objective of the study was to investigate the effects and safety of novel agents such as bortezomib and lenalidomide in the treatment of newly diagnosed patients with multiple myeloma. We performed a comprehensive meta-analysis of randomized controlled trials (RCTs). An initial search yielded 627 citations, of which 10 RCTs enrolling 4534 patients met the inclusion criteria. The addition of bortezomib to first-line therapy significantly prolonged overall survival (OS) (hazard ratio [HR], 0.75 [0.65, 0.87], p &lt; 0.001). On the other hand, the addition of lenalidomide had no impact on survival (HR, 0.88 [0.65, 1.20], p = 0.42). Both lenalidomide and bortezomib consistently improved progression-free survival (PFS) compared with conventional therapy alone. The corresponding HRs were 0.65, 95% confidence interval (CI) [0.55, 0.77] (p &lt; 0.001) for bortezomib and 0.48, 95% CI [0.42, 0.55]; (p &lt; 0.001) for lenalidomide, respectively. Some of the increased adverse events reported were herpes zoster (relative risk [RR], 3.64 [2.23, 5.94], p &lt; 0.001), peripheral neuropathy (RR, 3.59 [1.89, 6.83], p &lt; 0.001) and gastrointestinal effects (RR, 2.19 [1.37, 3.50], p = 0.001) among patients receiving bortezomib, and gastrointestinal effects (RR, 2.36 [1.33, 4.17], p = 0.003) and thromboembolic events (RR, 2.55 [1.48, 4.38], p &lt; 0.001) among patients receiving lenalidomide. Interestingly, treatment with bortezomib seemed to be associated with a lower rate of treatment related mortality (RR, 0.39 [0.18, 0.85], p = 0.02). An increased incidence of second primary cancers was observed in the lenalidomide group (RR 2.61 [1.60, 4.27], p &lt; 0.001). In summary, bortezomib improved OS, and both lenalidomide and bortezomib consistently improved PFS of patients with newly diagnosed myeloma when it was added to standard therapy.","author":[{"dropping-particle":"","family":"Zou","given":"Yandun","non-dropping-particle":"","parse-names":false,"suffix":""},{"dropping-particle":"","family":"Lin","given":"Mingzhen","non-dropping-particle":"","parse-names":false,"suffix":""},{"dropping-particle":"","family":"Sheng","given":"Zhixin","non-dropping-particle":"","parse-names":false,"suffix":""},{"dropping-particle":"","family":"Niu","given":"Shaona","non-dropping-particle":"","parse-names":false,"suffix":""}],"container-title":"Leukemia &amp; lymphoma","id":"ITEM-1","issue":"9","issued":{"date-parts":[["2014","9"]]},"page":"2024-31","title":"Bortezomib and lenalidomide as front-line therapy for multiple myeloma.","type":"article-journal","volume":"55"},"uris":["http://www.mendeley.com/documents/?uuid=9439b288-0a59-314a-9744-9aedc4d3acdf"]},{"id":"ITEM-2","itemData":{"DOI":"10.1080/10428194.2016.1177772","ISSN":"1029-2403","PMID":"27124703","abstract":"In newly diagnosed multiple myeloma (MM), patients ineligible for front-line autologous stem cell transplantation (ASCT), melphalan and prednisone (MP) with thalidomide (MPT) or bortezomib (VMP) are standard first-line therapeutic options. Despite new treatment regimens incorporating bortezomib or lenalidomide, MM remains incurable. The FIRST study demonstrated significant improvement in progression-free survival (PFS) and overall survival (OS) for the combination of lenalidomide and low-dose dexamethasone (Rd) until progression vs. MPT in transplant-ineligible ndMM patients. However, to date no head-to-head randomized controlled trials (RCTs) have compared Rd or MPT versus VMP. We conducted a network meta-analysis using RCTs identified through a systematic literature review to evaluate the relative efficacy of Rd versus other regimens on survival endpoints in previously untreated MM patients ineligible for ASCT. In this analysis, Rd was associated with a significant PFS and survival advantage versus other first-line treatments (VMP, MPT, MP), challenging the role of alkylators in this setting.","author":[{"dropping-particle":"","family":"Weisel","given":"Katja","non-dropping-particle":"","parse-names":false,"suffix":""},{"dropping-particle":"","family":"Doyen","given":"Chantal","non-dropping-particle":"","parse-names":false,"suffix":""},{"dropping-particle":"","family":"Dimopoulos","given":"Meletios","non-dropping-particle":"","parse-names":false,"suffix":""},{"dropping-particle":"","family":"Yee","given":"Adrian","non-dropping-particle":"","parse-names":false,"suffix":""},{"dropping-particle":"","family":"Lahuerta","given":"Juan José","non-dropping-particle":"","parse-names":false,"suffix":""},{"dropping-particle":"","family":"Martin","given":"Amber","non-dropping-particle":"","parse-names":false,"suffix":""},{"dropping-particle":"","family":"Travers","given":"Karin","non-dropping-particle":"","parse-names":false,"suffix":""},{"dropping-particle":"","family":"Druyts","given":"Eric","non-dropping-particle":"","parse-names":false,"suffix":""},{"dropping-particle":"","family":"Toor","given":"Kabirraaj","non-dropping-particle":"","parse-names":false,"suffix":""},{"dropping-particle":"","family":"Abildgaard","given":"Niels","non-dropping-particle":"","parse-names":false,"suffix":""},{"dropping-particle":"","family":"Lu","given":"Jin","non-dropping-particle":"","parse-names":false,"suffix":""},{"dropping-particle":"","family":"Droogenbroeck","given":"Jan","non-dropping-particle":"Van","parse-names":false,"suffix":""},{"dropping-particle":"","family":"Geraldes","given":"Catarina","non-dropping-particle":"","parse-names":false,"suffix":""},{"dropping-particle":"","family":"Petrini","given":"Mario","non-dropping-particle":"","parse-names":false,"suffix":""},{"dropping-particle":"","family":"Voillat","given":"Laurent","non-dropping-particle":"","parse-names":false,"suffix":""},{"dropping-particle":"","family":"Voog","given":"Eric","non-dropping-particle":"","parse-names":false,"suffix":""},{"dropping-particle":"","family":"Facon","given":"Thierry","non-dropping-particle":"","parse-names":false,"suffix":""}],"container-title":"Leukemia &amp; lymphoma","id":"ITEM-2","issue":"1","issued":{"date-parts":[["2017"]]},"page":"153-161","title":"A systematic literature review and network meta-analysis of treatments for patients with untreated multiple myeloma not eligible for stem cell transplantation.","type":"article-journal","volume":"58"},"uris":["http://www.mendeley.com/documents/?uuid=3e454a3e-7cea-314f-bbe4-01929d0542d4"]}],"mendeley":{"formattedCitation":"[26,31]","plainTextFormattedCitation":"[26,31]","previouslyFormattedCitation":"[26,31]"},"properties":{"noteIndex":0},"schema":"https://github.com/citation-style-language/schema/raw/master/csl-citation.json"}</w:instrText>
      </w:r>
      <w:r w:rsidR="00A96FB6" w:rsidRPr="00D62DF3">
        <w:fldChar w:fldCharType="separate"/>
      </w:r>
      <w:r w:rsidR="000D22CF" w:rsidRPr="00D62DF3">
        <w:rPr>
          <w:noProof/>
        </w:rPr>
        <w:t>[26,31]</w:t>
      </w:r>
      <w:r w:rsidR="00A96FB6" w:rsidRPr="00D62DF3">
        <w:fldChar w:fldCharType="end"/>
      </w:r>
      <w:r w:rsidR="00D25605" w:rsidRPr="00D62DF3">
        <w:t>.</w:t>
      </w:r>
      <w:r w:rsidR="00BE70BE" w:rsidRPr="00F05D88">
        <w:t xml:space="preserve"> </w:t>
      </w:r>
    </w:p>
    <w:p w:rsidR="004D7374" w:rsidRPr="00D25605" w:rsidRDefault="004D7374" w:rsidP="00131E36">
      <w:pPr>
        <w:spacing w:before="0" w:after="0"/>
        <w:ind w:left="709"/>
        <w:rPr>
          <w:b/>
        </w:rPr>
      </w:pPr>
      <w:r w:rsidRPr="00BF55DF">
        <w:rPr>
          <w:b/>
        </w:rPr>
        <w:t xml:space="preserve">Уровень убедительности рекомендаций </w:t>
      </w:r>
      <w:r w:rsidR="004A1BD3" w:rsidRPr="00BF55DF">
        <w:rPr>
          <w:b/>
        </w:rPr>
        <w:t xml:space="preserve">− </w:t>
      </w:r>
      <w:r w:rsidR="00637D26" w:rsidRPr="00BF55DF">
        <w:rPr>
          <w:b/>
        </w:rPr>
        <w:t>A</w:t>
      </w:r>
      <w:r w:rsidR="003369B4" w:rsidRPr="00BF55DF">
        <w:rPr>
          <w:b/>
        </w:rPr>
        <w:t xml:space="preserve"> </w:t>
      </w:r>
      <w:r w:rsidRPr="00BF55DF">
        <w:rPr>
          <w:b/>
        </w:rPr>
        <w:t>(уровень достоверности доказательств</w:t>
      </w:r>
      <w:r w:rsidR="004A1BD3" w:rsidRPr="00BF55DF">
        <w:rPr>
          <w:b/>
        </w:rPr>
        <w:t xml:space="preserve"> − </w:t>
      </w:r>
      <w:r w:rsidR="00637D26" w:rsidRPr="00F05D88">
        <w:rPr>
          <w:b/>
        </w:rPr>
        <w:t>1</w:t>
      </w:r>
      <w:r w:rsidRPr="00F05D88">
        <w:rPr>
          <w:b/>
        </w:rPr>
        <w:t>)</w:t>
      </w:r>
    </w:p>
    <w:p w:rsidR="00E54555" w:rsidRPr="007839D3" w:rsidRDefault="00D25605" w:rsidP="00131E36">
      <w:pPr>
        <w:spacing w:before="0" w:after="0"/>
        <w:ind w:left="709"/>
        <w:contextualSpacing/>
        <w:rPr>
          <w:i/>
        </w:rPr>
      </w:pPr>
      <w:r w:rsidRPr="00D25605">
        <w:rPr>
          <w:b/>
        </w:rPr>
        <w:t>Комментарий:</w:t>
      </w:r>
      <w:r w:rsidR="00463342" w:rsidRPr="00463342">
        <w:rPr>
          <w:b/>
        </w:rPr>
        <w:t xml:space="preserve"> </w:t>
      </w:r>
      <w:r w:rsidR="00463342" w:rsidRPr="00E54555">
        <w:rPr>
          <w:i/>
        </w:rPr>
        <w:t xml:space="preserve">в </w:t>
      </w:r>
      <w:r w:rsidR="00E54555" w:rsidRPr="00E54555">
        <w:rPr>
          <w:i/>
        </w:rPr>
        <w:t xml:space="preserve">рандомизированном </w:t>
      </w:r>
      <w:r w:rsidR="00E54555" w:rsidRPr="00BE169C">
        <w:rPr>
          <w:i/>
        </w:rPr>
        <w:t xml:space="preserve">исследовании </w:t>
      </w:r>
      <w:r w:rsidR="004B3AF6" w:rsidRPr="00DE0BC0">
        <w:rPr>
          <w:i/>
          <w:lang w:val="en-US"/>
        </w:rPr>
        <w:t>FIRST</w:t>
      </w:r>
      <w:r w:rsidR="00463342" w:rsidRPr="00463342">
        <w:rPr>
          <w:i/>
        </w:rPr>
        <w:t xml:space="preserve"> </w:t>
      </w:r>
      <w:r w:rsidR="00A96FB6">
        <w:rPr>
          <w:i/>
        </w:rPr>
        <w:fldChar w:fldCharType="begin" w:fldLock="1"/>
      </w:r>
      <w:r w:rsidR="00267DE2">
        <w:rPr>
          <w:i/>
        </w:rPr>
        <w:instrText>ADDIN CSL_CITATION {"citationItems":[{"id":"ITEM-1","itemData":{"DOI":"10.1056/NEJMoa1402551","ISSN":"15334406","abstract":"Copyright © 2014 Massachusetts Medical Society. Background: The combination melphalan-prednisone-thalidomide (MPT) is considered a standard therapy for patients with myeloma who are ineligible for stem-cell transplantation. However, emerging data on the use of lenalidomide and low-dose dexamethasone warrant a prospective comparison of the two approaches. Methods: We randomly assigned 1623 patients to lenalidomide and dexamethasone in 28-day cycles until disease progression (535 patients), to the same combination for 72 weeks (18 cycles; 541 patients), or to MPT for 72 weeks (547 patients). The primary end point was progression-free survival with continuous lenalidomide-dexamethasone versus MPT. Results: The median progression-free survival was 25.5 months with continuous lenalidomide-dexamethasone, 20.7 months with 18 cycles of lenalidomide-dexamethasone, and 21.2 months with MPT (hazard ratio for the risk of progression or death, 0.72 for continuous lenalidomide-dexamethasone vs. MPT and 0.70 for continuous lenalidomide-dexamethasone vs. 18 cycles of lenalidomide-dexamethasone; P &lt; 0.001 for both comparisons). Continuous lenalidomide-dexamethasone  was superior to MPT for all secondary efficacy end points, including overall survival (at the interim analysis). Overall survival at 4 years was 59% with continuous lenalidomide-dexamethasone, 56% with 18 cycles of lenalidomide-dexamethasone, and 51% with MPT. Grade 3 or 4 adverse events were somewhat less frequent with continuous lenalidomide-dexamethasone than with MPT (70% vs. 78%). As compared with MPT, continuous lenalidomide-dexamethasone was associated with fewer hematologic and neurologic toxic events, a moderate increase in infections, and fewer second primary hematologic cancers. Conclusions: As compared with MPT, continuous lenalidomide-dexamethasone given until disease progression was associated with a significant improvement in progression-free survival, with an overall survival benefit at the interim analysis, among patients with newly diagnosed multiple myeloma who were ineligible for stem-cell transplantation.","author":[{"dropping-particle":"","family":"Benboubker","given":"Lotfi","non-dropping-particle":"","parse-names":false,"suffix":""},{"dropping-particle":"","family":"Dimopoulos","given":"Meletios A.","non-dropping-particle":"","parse-names":false,"suffix":""},{"dropping-particle":"","family":"Dispenzieri","given":"Angela","non-dropping-particle":"","parse-names":false,"suffix":""},{"dropping-particle":"","family":"Catalano","given":"John","non-dropping-particle":"","parse-names":false,"suffix":""},{"dropping-particle":"","family":"Belch","given":"Andrew R.","non-dropping-particle":"","parse-names":false,"suffix":""},{"dropping-particle":"","family":"Cavo","given":"Michele","non-dropping-particle":"","parse-names":false,"suffix":""},{"dropping-particle":"","family":"Pinto","given":"Antonello","non-dropping-particle":"","parse-names":false,"suffix":""},{"dropping-particle":"","family":"Weisel","given":"Katja","non-dropping-particle":"","parse-names":false,"suffix":""},{"dropping-particle":"","family":"Ludwig","given":"Heinz","non-dropping-particle":"","parse-names":false,"suffix":""},{"dropping-particle":"","family":"Bahlis","given":"Nizar","non-dropping-particle":"","parse-names":false,"suffix":""},{"dropping-particle":"","family":"Banos","given":"Anne","non-dropping-particle":"","parse-names":false,"suffix":""},{"dropping-particle":"","family":"Tiab","given":"Mourad","non-dropping-particle":"","parse-names":false,"suffix":""},{"dropping-particle":"","family":"Delforge","given":"Michel","non-dropping-particle":"","parse-names":false,"suffix":""},{"dropping-particle":"","family":"Cavenagh","given":"Jamie","non-dropping-particle":"","parse-names":false,"suffix":""},{"dropping-particle":"","family":"Geraldes","given":"Catarina","non-dropping-particle":"","parse-names":false,"suffix":""},{"dropping-particle":"","family":"Lee","given":"Je Jung","non-dropping-particle":"","parse-names":false,"suffix":""},{"dropping-particle":"","family":"Chen","given":"Christine","non-dropping-particle":"","parse-names":false,"suffix":""},{"dropping-particle":"","family":"Oriol","given":"Albert","non-dropping-particle":"","parse-names":false,"suffix":""},{"dropping-particle":"","family":"La Rubia","given":"Javier","non-dropping-particle":"De","parse-names":false,"suffix":""},{"dropping-particle":"","family":"Qiu","given":"Lugui","non-dropping-particle":"","parse-names":false,"suffix":""},{"dropping-particle":"","family":"White","given":"Darrell J.","non-dropping-particle":"","parse-names":false,"suffix":""},{"dropping-particle":"","family":"Binder","given":"Daniel","non-dropping-particle":"","parse-names":false,"suffix":""},{"dropping-particle":"","family":"Anderson","given":"Kenneth","non-dropping-particle":"","parse-names":false,"suffix":""},{"dropping-particle":"","family":"Fermand","given":"Jean Paul","non-dropping-particle":"","parse-names":false,"suffix":""},{"dropping-particle":"","family":"Moreau","given":"Philippe","non-dropping-particle":"","parse-names":false,"suffix":""},{"dropping-particle":"","family":"Attal","given":"Michel","non-dropping-particle":"","parse-names":false,"suffix":""},{"dropping-particle":"","family":"Knight","given":"Robert","non-dropping-particle":"","parse-names":false,"suffix":""},{"dropping-particle":"","family":"Chen","given":"Guang","non-dropping-particle":"","parse-names":false,"suffix":""},{"dropping-particle":"","family":"Oostendorp","given":"Jason","non-dropping-particle":"Van","parse-names":false,"suffix":""},{"dropping-particle":"","family":"Jacques","given":"Christian","non-dropping-particle":"","parse-names":false,"suffix":""},{"dropping-particle":"","family":"Ervin-Haynes","given":"Annette","non-dropping-particle":"","parse-names":false,"suffix":""},{"dropping-particle":"","family":"Avet-Loiseau","given":"Hervé","non-dropping-particle":"","parse-names":false,"suffix":""},{"dropping-particle":"","family":"Hulin","given":"Cyrille","non-dropping-particle":"","parse-names":false,"suffix":""},{"dropping-particle":"","family":"Facon","given":"Thierry","non-dropping-particle":"","parse-names":false,"suffix":""}],"container-title":"New England Journal of Medicine","id":"ITEM-1","issue":"10","issued":{"date-parts":[["2014","9","4"]]},"page":"906-917","publisher":"Massachussetts Medical Society","title":"Lenalidomide and dexamethasone in transplant-ineligible patients with myeloma","type":"article-journal","volume":"371"},"uris":["http://www.mendeley.com/documents/?uuid=1aef8361-5ffc-3a29-81bc-8edf363798d5"]},{"id":"ITEM-2","itemData":{"DOI":"10.1016/j.clml.2015.07.330","ISSN":"21522650","abstract":"Background: MPT is a standard treatment (Tx) option in many countries for pts with NDMM who are ineligible for stem cell transplant (SCT). The FIRST trial is the largest prospective phase 3 trial conducted in patients with NDMM who are ineligible for SCT. It compares Tx with Rd until disease progression or unacceptable toxicity (Rd continuous), Rd for 18 cycles (Rd18), and MPT for 12 cycles. At the time of the original planned analysis, Rd continuous was associated with improved OS and progression-free survival (PFS) vs MPT (Benboubker, N Engl J Med, 2014). This is an updated analysis conducted at the request of the regulatory authorities. Methods: Pts were randomized 1:1:1 to 3 Tx arms: 28- day cycles of Rd continuous or Rd18, or MPT for twelve 42-day cycles. Adult pts were SCT-ineligible with symptomatic NDMM and an Eastern Cooperative Oncology Group performance status of 0-2. Pts with prior anti-myeloma Tx, specified laboratory abnormalities, or a history of malignancy other than MM were excluded. The primary endpoint was PFS (Rd continuous vs MPT; primary comparison). Secondary endpoints included OS, overall response rate, and safety. Results: 1623 pts were randomized; 535 pts received Rd continuous, 541 received Rd18, and 547 received MPT. At data cutoff (March 3, 2014), 91 pts remained on Rd continuous Tx. Across all arms, 697 pts (42.9%) died: 38.9% of pts on Rd continuous, 42.1% of pts on Rd18, and 47.7% of pts onMPT. The median follow-up was 45.5 mos. There was a 25% reduction in the risk of death with Rd continuous vsMPT (hazard ratio [HR], 0.75; 95% CI, 0.62-0.90). The median OS was 58.9 mos (95% CI, 56.0 mos-not evaluable [NE]) with Rd continuous, 56.7 mos (95% CI, 50.1 mos- NE) with Rd18, and 48.5 mos (95% CI, 44.2-52.0 mos) with MPT. There was a 31% reduction in the risk of progression or death with Rd continuous vs MPT (HR, 0.69; 95% CI, 0.59-0.80). Mean durations of Tx were 22.5 (Rd continuous), 12.6 (Rd18), and 11.9 (MPT) mos. Updated safety data will be presented. Conclusion: OS and PFS benefits observed in the original analysis were maintained with Rd continuous, which was better tolerated than MPT. The safety profile remained consistent with the interim analysis. These findings confirm Rd continuous as a new standard of care for pts with NDMM who are ineligible for SCT.","author":[{"dropping-particle":"","family":"Facon","given":"T.","non-dropping-particle":"","parse-names":false,"suffix":""},{"dropping-particle":"","family":"Dimopoulos","given":"M.A.","non-dropping-particle":"","parse-names":false,"suffix":""},{"dropping-particle":"","family":"Hulin","given":"C.","non-dropping-particle":"","parse-names":false,"suffix":""},{"dropping-particle":"","family":"Benboubker","given":"L.","non-dropping-particle":"","parse-names":false,"suffix":""},{"dropping-particle":"","family":"Belch","given":"A.","non-dropping-particle":"","parse-names":false,"suffix":""},{"dropping-particle":"","family":"Ludwig","given":"H.","non-dropping-particle":"","parse-names":false,"suffix":""},{"dropping-particle":"","family":"Pinto","given":"A.","non-dropping-particle":"","parse-names":false,"suffix":""},{"dropping-particle":"","family":"Attal","given":"M.","non-dropping-particle":"","parse-names":false,"suffix":""},{"dropping-particle":"","family":"Cavo","given":"M.","non-dropping-particle":"","parse-names":false,"suffix":""},{"dropping-particle":"","family":"Moreau","given":"P.","non-dropping-particle":"","parse-names":false,"suffix":""},{"dropping-particle":"","family":"Schots","given":"R.","non-dropping-particle":"","parse-names":false,"suffix":""},{"dropping-particle":"","family":"Meuleman","given":"N.","non-dropping-particle":"","parse-names":false,"suffix":""},{"dropping-particle":"","family":"Weisel","given":"K.","non-dropping-particle":"","parse-names":false,"suffix":""},{"dropping-particle":"","family":"Tiab","given":"M.","non-dropping-particle":"","parse-names":false,"suffix":""},{"dropping-particle":"","family":"Lee","given":"J.-J.","non-dropping-particle":"","parse-names":false,"suffix":""},{"dropping-particle":"","family":"Butler","given":"A.","non-dropping-particle":"","parse-names":false,"suffix":""},{"dropping-particle":"","family":"Marek","given":"J.","non-dropping-particle":"","parse-names":false,"suffix":""},{"dropping-particle":"","family":"Chen","given":"G.","non-dropping-particle":"","parse-names":false,"suffix":""},{"dropping-particle":"","family":"Ervin-Haynes","given":"A.","non-dropping-particle":"","parse-names":false,"suffix":""},{"dropping-particle":"","family":"Fermand","given":"J.P.","non-dropping-particle":"","parse-names":false,"suffix":""}],"container-title":"Clinical Lymphoma Myeloma and Leukemia","id":"ITEM-2","issued":{"date-parts":[["2015","9"]]},"page":"e134","publisher":"Elsevier BV","title":"Updated Overall Survival (OS) Analysis of the FIRST Study: Lenalidomide Plus Low-Dose Dexamethasone (Rd) Continuous vs Melphalan, Prednisone, and Thalidomide (MPT) in Patients (Pts) With Newly Diagnosed Multiple Myeloma (NDMM)","type":"article-journal","volume":"15"},"uris":["http://www.mendeley.com/documents/?uuid=86ac7d33-9ba9-3777-a8e7-495bf889e69e"]}],"mendeley":{"formattedCitation":"[32,33]","plainTextFormattedCitation":"[32,33]","previouslyFormattedCitation":"[32,33]"},"properties":{"noteIndex":0},"schema":"https://github.com/citation-style-language/schema/raw/master/csl-citation.json"}</w:instrText>
      </w:r>
      <w:r w:rsidR="00A96FB6">
        <w:rPr>
          <w:i/>
        </w:rPr>
        <w:fldChar w:fldCharType="separate"/>
      </w:r>
      <w:r w:rsidR="000D22CF" w:rsidRPr="000D22CF">
        <w:rPr>
          <w:noProof/>
        </w:rPr>
        <w:t>[32,33]</w:t>
      </w:r>
      <w:r w:rsidR="00A96FB6">
        <w:rPr>
          <w:i/>
        </w:rPr>
        <w:fldChar w:fldCharType="end"/>
      </w:r>
      <w:r w:rsidR="00463342" w:rsidRPr="00463342">
        <w:rPr>
          <w:i/>
        </w:rPr>
        <w:t xml:space="preserve"> </w:t>
      </w:r>
      <w:r w:rsidR="00E54555" w:rsidRPr="00DE0BC0">
        <w:rPr>
          <w:i/>
        </w:rPr>
        <w:t xml:space="preserve">показано, что длительная </w:t>
      </w:r>
      <w:r w:rsidR="004B3AF6" w:rsidRPr="00EC44BD">
        <w:rPr>
          <w:i/>
        </w:rPr>
        <w:t xml:space="preserve">непрерывная </w:t>
      </w:r>
      <w:r w:rsidR="00E54555" w:rsidRPr="00486AB9">
        <w:rPr>
          <w:i/>
        </w:rPr>
        <w:t>терапия по схеме Rd улучшает ВБП по сравнению с фиксированным числом курсов Rd</w:t>
      </w:r>
      <w:r w:rsidR="004B3AF6" w:rsidRPr="00DE0BC0">
        <w:rPr>
          <w:i/>
        </w:rPr>
        <w:t xml:space="preserve"> длительностью 18 мес. Так, в группе </w:t>
      </w:r>
      <w:r w:rsidR="00FB03BB" w:rsidRPr="00DE0BC0">
        <w:rPr>
          <w:i/>
        </w:rPr>
        <w:t>пациентов</w:t>
      </w:r>
      <w:r w:rsidR="004B3AF6" w:rsidRPr="00DE0BC0">
        <w:rPr>
          <w:i/>
        </w:rPr>
        <w:t xml:space="preserve">, получавших терапию Rd непрерывно, медиана ВБП составила 26 мес, а показатель 4-летней ВБП </w:t>
      </w:r>
      <w:r w:rsidR="00517AB2">
        <w:rPr>
          <w:i/>
        </w:rPr>
        <w:t>–</w:t>
      </w:r>
      <w:r w:rsidR="004B3AF6" w:rsidRPr="00DE0BC0">
        <w:rPr>
          <w:i/>
        </w:rPr>
        <w:t xml:space="preserve"> 33</w:t>
      </w:r>
      <w:r w:rsidR="00517AB2">
        <w:rPr>
          <w:i/>
        </w:rPr>
        <w:t> </w:t>
      </w:r>
      <w:r w:rsidR="004B3AF6" w:rsidRPr="00DE0BC0">
        <w:rPr>
          <w:i/>
        </w:rPr>
        <w:t>%, в то время как при лечении Rd</w:t>
      </w:r>
      <w:r w:rsidR="00517AB2">
        <w:rPr>
          <w:i/>
        </w:rPr>
        <w:t>-</w:t>
      </w:r>
      <w:r w:rsidR="004B3AF6" w:rsidRPr="00DE0BC0">
        <w:rPr>
          <w:i/>
        </w:rPr>
        <w:t>18 эти показатели равнялись 21 мес</w:t>
      </w:r>
      <w:r w:rsidR="00E778E9">
        <w:rPr>
          <w:i/>
        </w:rPr>
        <w:t>.</w:t>
      </w:r>
      <w:r w:rsidR="00A94BEE">
        <w:rPr>
          <w:i/>
        </w:rPr>
        <w:t xml:space="preserve"> </w:t>
      </w:r>
      <w:r w:rsidR="004B3AF6" w:rsidRPr="00DE0BC0">
        <w:rPr>
          <w:i/>
        </w:rPr>
        <w:t>и 1</w:t>
      </w:r>
      <w:r w:rsidR="00BF339C" w:rsidRPr="00DE0BC0">
        <w:rPr>
          <w:i/>
        </w:rPr>
        <w:t>4</w:t>
      </w:r>
      <w:r w:rsidR="00A94BEE">
        <w:rPr>
          <w:i/>
        </w:rPr>
        <w:t> </w:t>
      </w:r>
      <w:r w:rsidR="00BF339C" w:rsidRPr="00DE0BC0">
        <w:rPr>
          <w:i/>
        </w:rPr>
        <w:t>% соответственно. При этом в группе</w:t>
      </w:r>
      <w:r w:rsidR="00A94BEE">
        <w:rPr>
          <w:i/>
        </w:rPr>
        <w:t xml:space="preserve"> </w:t>
      </w:r>
      <w:r w:rsidR="00FB03BB" w:rsidRPr="00DE0BC0">
        <w:rPr>
          <w:i/>
        </w:rPr>
        <w:t>пациентов</w:t>
      </w:r>
      <w:r w:rsidR="004B3AF6" w:rsidRPr="00DE0BC0">
        <w:rPr>
          <w:i/>
        </w:rPr>
        <w:t xml:space="preserve">, </w:t>
      </w:r>
      <w:r w:rsidR="00BF339C" w:rsidRPr="00DE0BC0">
        <w:rPr>
          <w:i/>
        </w:rPr>
        <w:t xml:space="preserve">получавших длительно схему Rd и </w:t>
      </w:r>
      <w:r w:rsidR="004B3AF6" w:rsidRPr="00DE0BC0">
        <w:rPr>
          <w:i/>
        </w:rPr>
        <w:t xml:space="preserve">достигших </w:t>
      </w:r>
      <w:r w:rsidR="00856A79">
        <w:rPr>
          <w:i/>
        </w:rPr>
        <w:t>ПР</w:t>
      </w:r>
      <w:r w:rsidR="004B3AF6" w:rsidRPr="00DE0BC0">
        <w:rPr>
          <w:i/>
        </w:rPr>
        <w:t xml:space="preserve"> или </w:t>
      </w:r>
      <w:r w:rsidR="00BF339C" w:rsidRPr="00DE0BC0">
        <w:rPr>
          <w:i/>
        </w:rPr>
        <w:t>очень хорошей частичной ремиссии</w:t>
      </w:r>
      <w:r w:rsidR="00A94BEE">
        <w:rPr>
          <w:i/>
        </w:rPr>
        <w:t xml:space="preserve"> (</w:t>
      </w:r>
      <w:r w:rsidR="002A40D8">
        <w:rPr>
          <w:i/>
        </w:rPr>
        <w:t>ОХ</w:t>
      </w:r>
      <w:r w:rsidR="00A94BEE">
        <w:rPr>
          <w:i/>
        </w:rPr>
        <w:t>ЧР)</w:t>
      </w:r>
      <w:r w:rsidR="00BF339C" w:rsidRPr="00DE0BC0">
        <w:rPr>
          <w:i/>
        </w:rPr>
        <w:t xml:space="preserve">, 4-летняя ВБП </w:t>
      </w:r>
      <w:r w:rsidR="00A5418C" w:rsidRPr="00DE0BC0">
        <w:rPr>
          <w:i/>
        </w:rPr>
        <w:t>состави</w:t>
      </w:r>
      <w:r w:rsidR="00BF339C" w:rsidRPr="00DE0BC0">
        <w:rPr>
          <w:i/>
        </w:rPr>
        <w:t>ла 75</w:t>
      </w:r>
      <w:r w:rsidR="00A94BEE">
        <w:rPr>
          <w:i/>
        </w:rPr>
        <w:t> </w:t>
      </w:r>
      <w:r w:rsidR="00BF339C" w:rsidRPr="00DE0BC0">
        <w:rPr>
          <w:i/>
        </w:rPr>
        <w:t xml:space="preserve">%. </w:t>
      </w:r>
    </w:p>
    <w:p w:rsidR="004D7374" w:rsidRPr="00BE169C" w:rsidRDefault="00E54555" w:rsidP="00131E36">
      <w:pPr>
        <w:spacing w:before="0" w:after="0"/>
        <w:ind w:left="709"/>
        <w:contextualSpacing/>
        <w:rPr>
          <w:i/>
        </w:rPr>
      </w:pPr>
      <w:r w:rsidRPr="00E54555">
        <w:rPr>
          <w:i/>
        </w:rPr>
        <w:t>В двух проспективных рандомизированных исследованиях изучал</w:t>
      </w:r>
      <w:r w:rsidR="002A40D8">
        <w:rPr>
          <w:i/>
        </w:rPr>
        <w:t>и</w:t>
      </w:r>
      <w:r w:rsidRPr="00E54555">
        <w:rPr>
          <w:i/>
        </w:rPr>
        <w:t xml:space="preserve"> эффективность </w:t>
      </w:r>
      <w:r w:rsidR="002A40D8">
        <w:rPr>
          <w:i/>
        </w:rPr>
        <w:t>трех</w:t>
      </w:r>
      <w:r w:rsidRPr="00E54555">
        <w:rPr>
          <w:i/>
        </w:rPr>
        <w:t>препаратной схемы мелфалан</w:t>
      </w:r>
      <w:r w:rsidR="007E7259">
        <w:rPr>
          <w:i/>
        </w:rPr>
        <w:t>**</w:t>
      </w:r>
      <w:r w:rsidRPr="00E54555">
        <w:rPr>
          <w:i/>
        </w:rPr>
        <w:t>/преднизолон</w:t>
      </w:r>
      <w:r w:rsidR="007E7259">
        <w:rPr>
          <w:i/>
        </w:rPr>
        <w:t>**</w:t>
      </w:r>
      <w:r w:rsidRPr="00E54555">
        <w:rPr>
          <w:i/>
        </w:rPr>
        <w:t>/леналидомид</w:t>
      </w:r>
      <w:r w:rsidR="007E7259">
        <w:rPr>
          <w:i/>
        </w:rPr>
        <w:t>**</w:t>
      </w:r>
      <w:r w:rsidRPr="00E54555">
        <w:rPr>
          <w:i/>
        </w:rPr>
        <w:t xml:space="preserve"> (MPR) по сравнению с</w:t>
      </w:r>
      <w:r w:rsidR="002A40D8">
        <w:rPr>
          <w:i/>
        </w:rPr>
        <w:t>о схемой</w:t>
      </w:r>
      <w:r w:rsidRPr="00E54555">
        <w:rPr>
          <w:i/>
        </w:rPr>
        <w:t xml:space="preserve"> мелфалан</w:t>
      </w:r>
      <w:r w:rsidR="007E7259">
        <w:rPr>
          <w:i/>
        </w:rPr>
        <w:t>**</w:t>
      </w:r>
      <w:r w:rsidRPr="00E54555">
        <w:rPr>
          <w:i/>
        </w:rPr>
        <w:t>/преднизолон</w:t>
      </w:r>
      <w:r w:rsidR="007E7259">
        <w:rPr>
          <w:i/>
        </w:rPr>
        <w:t>**</w:t>
      </w:r>
      <w:r w:rsidRPr="00E54555">
        <w:rPr>
          <w:i/>
        </w:rPr>
        <w:t xml:space="preserve"> (МР)</w:t>
      </w:r>
      <w:r w:rsidR="00463342" w:rsidRPr="00463342">
        <w:rPr>
          <w:i/>
        </w:rPr>
        <w:t xml:space="preserve"> </w:t>
      </w:r>
      <w:r w:rsidR="00A96FB6">
        <w:rPr>
          <w:i/>
        </w:rPr>
        <w:fldChar w:fldCharType="begin" w:fldLock="1"/>
      </w:r>
      <w:r w:rsidR="00463342">
        <w:rPr>
          <w:i/>
        </w:rPr>
        <w:instrText>ADDIN CSL_CITATION {"citationItems":[{"id":"ITEM-1","itemData":{"DOI":"10.1056/NEJMoa1112704","ISSN":"1533-4406","PMID":"22571200","abstract":"BACKGROUND Lenalidomide has tumoricidal and immunomodulatory activity against multiple myeloma. This double-blind, multicenter, randomized study compared melphalan-prednisone-lenalidomide induction followed by lenalidomide maintenance (MPR-R) with melphalan-prednisone-lenalidomide (MPR) or melphalan-prednisone (MP) followed by placebo in patients 65 years of age or older with newly diagnosed multiple myeloma. METHODS We randomly assigned patients who were ineligible for transplantation to receive MPR-R (nine 4-week cycles of MPR followed by lenalidomide maintenance therapy until a relapse or disease progression occurred [152 patients]) or to receive MPR (153 patients) or MP (154 patients) without maintenance therapy. The primary end point was progression-free survival. RESULTS The median follow-up period was 30 months. The median progression-free survival was significantly longer with MPR-R (31 months) than with MPR (14 months; hazard ratio, 0.49; P&lt;0.001) or MP (13 months; hazard ratio, 0.40; P&lt;0.001). Response rates were superior with MPR-R and MPR (77% and 68%, respectively, vs. 50% with MP; P&lt;0.001 and P=0.002, respectively, for the comparison with MP). The progression-free survival benefit associated with MPR-R was noted in patients 65 to 75 years of age but not in those older than 75 years of age (P=0.001 for treatment-by-age interaction). After induction therapy, a landmark analysis showed a 66% reduction in the rate of progression with MPR-R (hazard ratio for the comparison with MPR, 0.34; P&lt;0.001) that was age-independent. During induction therapy, the most frequent adverse events were hematologic; grade 4 neutropenia was reported in 35%, 32%, and 8% of the patients in the MPR-R, MPR, and MP groups, respectively. The 3-year rate of second primary tumors was 7% with MPR-R, 7% with MPR, and 3% with MP. CONCLUSIONS MPR-R significantly prolonged progression-free survival in patients with newly diagnosed multiple myeloma who were ineligible for transplantation, with the greatest benefit observed in patients 65 to 75 years of age. (Funded by Celgene; MM-015 ClinicalTrials.gov number, NCT00405756.).","author":[{"dropping-particle":"","family":"Palumbo","given":"Antonio","non-dropping-particle":"","parse-names":false,"suffix":""},{"dropping-particle":"","family":"Hajek","given":"Roman","non-dropping-particle":"","parse-names":false,"suffix":""},{"dropping-particle":"","family":"Delforge","given":"Michel","non-dropping-particle":"","parse-names":false,"suffix":""},{"dropping-particle":"","family":"Kropff","given":"Martin","non-dropping-particle":"","parse-names":false,"suffix":""},{"dropping-particle":"","family":"Petrucci","given":"Maria Teresa","non-dropping-particle":"","parse-names":false,"suffix":""},{"dropping-particle":"","family":"Catalano","given":"John","non-dropping-particle":"","parse-names":false,"suffix":""},{"dropping-particle":"","family":"Gisslinger","given":"Heinz","non-dropping-particle":"","parse-names":false,"suffix":""},{"dropping-particle":"","family":"Wiktor-Jędrzejczak","given":"Wiesław","non-dropping-particle":"","parse-names":false,"suffix":""},{"dropping-particle":"","family":"Zodelava","given":"Mamia","non-dropping-particle":"","parse-names":false,"suffix":""},{"dropping-particle":"","family":"Weisel","given":"Katja","non-dropping-particle":"","parse-names":false,"suffix":""},{"dropping-particle":"","family":"Cascavilla","given":"Nicola","non-dropping-particle":"","parse-names":false,"suffix":""},{"dropping-particle":"","family":"Iosava","given":"Genadi","non-dropping-particle":"","parse-names":false,"suffix":""},{"dropping-particle":"","family":"Cavo","given":"Michele","non-dropping-particle":"","parse-names":false,"suffix":""},{"dropping-particle":"","family":"Kloczko","given":"Janusz","non-dropping-particle":"","parse-names":false,"suffix":""},{"dropping-particle":"","family":"Bladé","given":"Joan","non-dropping-particle":"","parse-names":false,"suffix":""},{"dropping-particle":"","family":"Beksac","given":"Meral","non-dropping-particle":"","parse-names":false,"suffix":""},{"dropping-particle":"","family":"Spicka","given":"Ivan","non-dropping-particle":"","parse-names":false,"suffix":""},{"dropping-particle":"","family":"Plesner","given":"Torben","non-dropping-particle":"","parse-names":false,"suffix":""},{"dropping-particle":"","family":"Radke","given":"Joergen","non-dropping-particle":"","parse-names":false,"suffix":""},{"dropping-particle":"","family":"Langer","given":"Christian","non-dropping-particle":"","parse-names":false,"suffix":""},{"dropping-particle":"","family":"Yehuda","given":"Dina","non-dropping-particle":"Ben","parse-names":false,"suffix":""},{"dropping-particle":"","family":"Corso","given":"Alessandro","non-dropping-particle":"","parse-names":false,"suffix":""},{"dropping-particle":"","family":"Herbein","given":"Lindsay","non-dropping-particle":"","parse-names":false,"suffix":""},{"dropping-particle":"","family":"Yu","given":"Zhinuan","non-dropping-particle":"","parse-names":false,"suffix":""},{"dropping-particle":"","family":"Mei","given":"Jay","non-dropping-particle":"","parse-names":false,"suffix":""},{"dropping-particle":"","family":"Jacques","given":"Christian","non-dropping-particle":"","parse-names":false,"suffix":""},{"dropping-particle":"","family":"Dimopoulos","given":"Meletios A","non-dropping-particle":"","parse-names":false,"suffix":""},{"dropping-particle":"","family":"MM-015 Investigators","given":"","non-dropping-particle":"","parse-names":false,"suffix":""}],"container-title":"The New England journal of medicine","id":"ITEM-1","issue":"19","issued":{"date-parts":[["2012","5","10"]]},"page":"1759-69","title":"Continuous lenalidomide treatment for newly diagnosed multiple myeloma.","type":"article-journal","volume":"366"},"uris":["http://www.mendeley.com/documents/?uuid=42289568-cfbb-34c6-a862-05b95a00609e"]}],"mendeley":{"formattedCitation":"[34]","plainTextFormattedCitation":"[34]","previouslyFormattedCitation":"[34]"},"properties":{"noteIndex":0},"schema":"https://github.com/citation-style-language/schema/raw/master/csl-citation.json"}</w:instrText>
      </w:r>
      <w:r w:rsidR="00A96FB6">
        <w:rPr>
          <w:i/>
        </w:rPr>
        <w:fldChar w:fldCharType="separate"/>
      </w:r>
      <w:r w:rsidR="00463342" w:rsidRPr="00463342">
        <w:rPr>
          <w:noProof/>
        </w:rPr>
        <w:t>[34]</w:t>
      </w:r>
      <w:r w:rsidR="00A96FB6">
        <w:rPr>
          <w:i/>
        </w:rPr>
        <w:fldChar w:fldCharType="end"/>
      </w:r>
      <w:r w:rsidRPr="00E54555">
        <w:rPr>
          <w:i/>
        </w:rPr>
        <w:t>. Преимущество ВБП было отмечено в случае применения MPR с последующим длительным назначением леналидомида</w:t>
      </w:r>
      <w:r w:rsidR="007E7259">
        <w:rPr>
          <w:i/>
        </w:rPr>
        <w:t>**</w:t>
      </w:r>
      <w:r w:rsidRPr="00E54555">
        <w:rPr>
          <w:i/>
        </w:rPr>
        <w:t xml:space="preserve"> (схема MPR-R</w:t>
      </w:r>
      <w:r w:rsidRPr="00BE169C">
        <w:rPr>
          <w:i/>
        </w:rPr>
        <w:t xml:space="preserve">). Однако различий в показателях ОВ достигнуто не было. </w:t>
      </w:r>
    </w:p>
    <w:p w:rsidR="001978D9" w:rsidRPr="00BE169C" w:rsidRDefault="001978D9" w:rsidP="00131E36">
      <w:pPr>
        <w:pStyle w:val="a5"/>
        <w:numPr>
          <w:ilvl w:val="0"/>
          <w:numId w:val="5"/>
        </w:numPr>
        <w:spacing w:before="0" w:after="0"/>
        <w:ind w:left="709" w:hanging="709"/>
      </w:pPr>
      <w:r w:rsidRPr="00BE169C">
        <w:t>Пациентам с впервые диагностированной ММ – не кандидатам на ВДХТ с ауто</w:t>
      </w:r>
      <w:r w:rsidR="00267DE2">
        <w:t>-</w:t>
      </w:r>
      <w:r w:rsidRPr="00BE169C">
        <w:t xml:space="preserve">ТГСК </w:t>
      </w:r>
      <w:r w:rsidR="00F352FE">
        <w:t xml:space="preserve">− </w:t>
      </w:r>
      <w:r w:rsidRPr="00BE169C">
        <w:t xml:space="preserve">в качестве альтернативной опции </w:t>
      </w:r>
      <w:r w:rsidR="003703A8">
        <w:rPr>
          <w:b/>
        </w:rPr>
        <w:t>рекомендуется</w:t>
      </w:r>
      <w:r w:rsidRPr="00BE169C">
        <w:t xml:space="preserve"> добавление даратумумаба** к программе </w:t>
      </w:r>
      <w:r w:rsidRPr="00BE169C">
        <w:rPr>
          <w:lang w:val="en-US"/>
        </w:rPr>
        <w:t>VMP</w:t>
      </w:r>
      <w:r w:rsidR="00DA70E3">
        <w:t xml:space="preserve"> (описание режимов – см. приложение </w:t>
      </w:r>
      <w:r w:rsidR="00C812D6">
        <w:t>А3.1</w:t>
      </w:r>
      <w:r w:rsidR="00F352FE">
        <w:t>.</w:t>
      </w:r>
      <w:r w:rsidR="00DA70E3">
        <w:t>)</w:t>
      </w:r>
      <w:r w:rsidRPr="00BE169C">
        <w:t xml:space="preserve"> </w:t>
      </w:r>
      <w:r w:rsidR="00A96FB6">
        <w:fldChar w:fldCharType="begin" w:fldLock="1"/>
      </w:r>
      <w:r w:rsidR="00D95A58">
        <w:instrText>ADDIN CSL_CITATION {"citationItems":[{"id":"ITEM-1","itemData":{"DOI":"10.1056/NEJMoa1714678","ISSN":"15334406","abstract":"BACKGROUND   The combination of bortezomib, melphalan, and prednisone is a standard treatment for patients with newly diagnosed multiple myeloma who are ineligible for autologous stem-cell transplantation. Daratumumab has shown efficacy in combination with standard-of-care regimens in patients with relapsed or refractory multiple myeloma.  METHODS  In this phase 3 trial, we randomly assigned 706 patients with newly diagnosed multiple myeloma who were ineligible for stem-cell transplantation to receive nine cycles of bortezomib, melphalan, and prednisone either alone (control group) or with daratumumab (daratumumab group) until disease progression. The primary end point was progression-free survival.  RESULTS  At a median follow-up of 16.5 months in a prespecified interim analysis, the 18-month progression-free survival rate was 71.6% (95% confidence interval [CI], 65.5 to 76.8) in the daratumumab group and 50.2% (95% CI, 43.2 to 56.7) in the control group (hazard ratio for disease progression or death, 0.50; 95% CI, 0.38 to 0.65; P&lt;0.001). The overall response rate was 90.9% in the daratumumab group, as compared with 73.9% in the control group (P&lt;0.001), and the rate of complete response or better (including stringent complete response) was 42.6%, versus 24.4% (P&lt;0.001). In the daratumumab group, 22.3% of the patients were negative for minimal residual disease (at a threshold of 1 tumor cell per 105 white cells), as compared with 6.2% of those in the control group (P&lt;0.001). The most common adverse events of grade 3 or 4 were hematologic: neutropenia (in 39.9% of the patients in the daratumumab group and in 38.7% of those in the control group), thrombocytopenia (in 34.4% and 37.6%, respectively), and anemia (in 15.9% and 19.8%, respectively). The rate of grade 3 or 4 infections was 23.1% in the daratumumab group and 14.7% in the control group; the rate of treatment discontinuation due to infections was 0.9% and 1.4%, respectively. Daratumumab-associated infusion-related reactions occurred in 27.7% of the patients.  CONCLUSIONS  Among patients with newly diagnosed multiple myeloma who were ineligible for stem-cell transplantation, daratumumab combined with bortezomib, melphalan, and prednisone resulted in a lower risk of disease progression or death than the same regimen without daratumumab. The daratumumab-containing regimen was associated with more grade 3 or 4 infections.","author":[{"dropping-particle":"V.","family":"Mateos","given":"M.","non-dropping-particle":"","parse-names":false,"suffix":""},{"dropping-particle":"","family":"Dimopoulos","given":"M. A.","non-dropping-particle":"","parse-names":false,"suffix":""},{"dropping-particle":"","family":"Cavo","given":"M.","non-dropping-particle":"","parse-names":false,"suffix":""},{"dropping-particle":"","family":"Suzuki","given":"K.","non-dropping-particle":"","parse-names":false,"suffix":""},{"dropping-particle":"","family":"Jakubowiak","given":"A.","non-dropping-particle":"","parse-names":false,"suffix":""},{"dropping-particle":"","family":"Knop","given":"S.","non-dropping-particle":"","parse-names":false,"suffix":""},{"dropping-particle":"","family":"Doyen","given":"C.","non-dropping-particle":"","parse-names":false,"suffix":""},{"dropping-particle":"","family":"Lucio","given":"P.","non-dropping-particle":"","parse-names":false,"suffix":""},{"dropping-particle":"","family":"Nagy","given":"Z.","non-dropping-particle":"","parse-names":false,"suffix":""},{"dropping-particle":"","family":"Kaplan","given":"P.","non-dropping-particle":"","parse-names":false,"suffix":""},{"dropping-particle":"","family":"Pour","given":"L.","non-dropping-particle":"","parse-names":false,"suffix":""},{"dropping-particle":"","family":"Cook","given":"M.","non-dropping-particle":"","parse-names":false,"suffix":""},{"dropping-particle":"","family":"Grosicki","given":"S.","non-dropping-particle":"","parse-names":false,"suffix":""},{"dropping-particle":"","family":"Crepaldi","given":"A.","non-dropping-particle":"","parse-names":false,"suffix":""},{"dropping-particle":"","family":"Liberati","given":"A. M.","non-dropping-particle":"","parse-names":false,"suffix":""},{"dropping-particle":"","family":"Campbell","given":"P.","non-dropping-particle":"","parse-names":false,"suffix":""},{"dropping-particle":"","family":"Shelekhova","given":"T.","non-dropping-particle":"","parse-names":false,"suffix":""},{"dropping-particle":"","family":"Yoon","given":"S. S.","non-dropping-particle":"","parse-names":false,"suffix":""},{"dropping-particle":"","family":"Iosava","given":"G.","non-dropping-particle":"","parse-names":false,"suffix":""},{"dropping-particle":"","family":"Fujisaki","given":"T.","non-dropping-particle":"","parse-names":false,"suffix":""},{"dropping-particle":"","family":"Garg","given":"M.","non-dropping-particle":"","parse-names":false,"suffix":""},{"dropping-particle":"","family":"Chiu","given":"C.","non-dropping-particle":"","parse-names":false,"suffix":""},{"dropping-particle":"","family":"Wang","given":"J.","non-dropping-particle":"","parse-names":false,"suffix":""},{"dropping-particle":"","family":"Carson","given":"R.","non-dropping-particle":"","parse-names":false,"suffix":""},{"dropping-particle":"","family":"Crist","given":"W.","non-dropping-particle":"","parse-names":false,"suffix":""},{"dropping-particle":"","family":"Deraedt","given":"W.","non-dropping-particle":"","parse-names":false,"suffix":""},{"dropping-particle":"","family":"Nguyen","given":"H.","non-dropping-particle":"","parse-names":false,"suffix":""},{"dropping-particle":"","family":"Qi","given":"M.","non-dropping-particle":"","parse-names":false,"suffix":""},{"dropping-particle":"","family":"San-Miguel","given":"J.","non-dropping-particle":"","parse-names":false,"suffix":""}],"container-title":"New England Journal of Medicine","id":"ITEM-1","issue":"6","issued":{"date-parts":[["2018","2","8"]]},"page":"518-528","publisher":"Massachussetts Medical Society","title":"Daratumumab plus bortezomib, melphalan, and prednisone for untreated myeloma","type":"article-journal","volume":"378"},"uris":["http://www.mendeley.com/documents/?uuid=c8a58915-6267-3659-85da-643538f98aac"]}],"mendeley":{"formattedCitation":"[35]","plainTextFormattedCitation":"[35]","previouslyFormattedCitation":"[35]"},"properties":{"noteIndex":0},"schema":"https://github.com/citation-style-language/schema/raw/master/csl-citation.json"}</w:instrText>
      </w:r>
      <w:r w:rsidR="00A96FB6">
        <w:fldChar w:fldCharType="separate"/>
      </w:r>
      <w:r w:rsidR="00267DE2" w:rsidRPr="00267DE2">
        <w:rPr>
          <w:noProof/>
        </w:rPr>
        <w:t>[35]</w:t>
      </w:r>
      <w:r w:rsidR="00A96FB6">
        <w:fldChar w:fldCharType="end"/>
      </w:r>
      <w:r w:rsidR="008B32D3">
        <w:t>.</w:t>
      </w:r>
      <w:r w:rsidR="00BE70BE" w:rsidRPr="00BE70BE">
        <w:rPr>
          <w:rFonts w:ascii="yandex-sans" w:hAnsi="yandex-sans"/>
          <w:color w:val="000000"/>
          <w:sz w:val="23"/>
          <w:szCs w:val="23"/>
        </w:rPr>
        <w:t xml:space="preserve"> </w:t>
      </w:r>
    </w:p>
    <w:p w:rsidR="001978D9" w:rsidRPr="00BE169C" w:rsidRDefault="001978D9" w:rsidP="00131E36">
      <w:pPr>
        <w:spacing w:before="0" w:after="0"/>
        <w:ind w:left="709"/>
        <w:contextualSpacing/>
        <w:rPr>
          <w:b/>
        </w:rPr>
      </w:pPr>
      <w:r w:rsidRPr="00BE169C">
        <w:rPr>
          <w:b/>
        </w:rPr>
        <w:t xml:space="preserve">Уровень убедительности рекомендаций </w:t>
      </w:r>
      <w:r w:rsidR="00F352FE">
        <w:rPr>
          <w:b/>
        </w:rPr>
        <w:t xml:space="preserve">− </w:t>
      </w:r>
      <w:r w:rsidR="000558B2" w:rsidRPr="00BE169C">
        <w:rPr>
          <w:b/>
        </w:rPr>
        <w:t xml:space="preserve">A </w:t>
      </w:r>
      <w:r w:rsidRPr="00BE169C">
        <w:rPr>
          <w:b/>
        </w:rPr>
        <w:t>(уровень достоверности доказательств</w:t>
      </w:r>
      <w:r w:rsidR="00946AD8" w:rsidRPr="00946AD8">
        <w:rPr>
          <w:b/>
        </w:rPr>
        <w:t xml:space="preserve"> </w:t>
      </w:r>
      <w:r w:rsidR="00F352FE">
        <w:rPr>
          <w:b/>
        </w:rPr>
        <w:t xml:space="preserve">− </w:t>
      </w:r>
      <w:r w:rsidR="000558B2" w:rsidRPr="00BE169C">
        <w:rPr>
          <w:b/>
        </w:rPr>
        <w:t>2</w:t>
      </w:r>
      <w:r w:rsidRPr="00BE169C">
        <w:rPr>
          <w:b/>
        </w:rPr>
        <w:t>)</w:t>
      </w:r>
    </w:p>
    <w:p w:rsidR="00CF7A54" w:rsidRPr="00E36DFA" w:rsidRDefault="001978D9" w:rsidP="00E36DFA">
      <w:pPr>
        <w:ind w:left="709"/>
        <w:rPr>
          <w:i/>
        </w:rPr>
      </w:pPr>
      <w:r w:rsidRPr="00637D26">
        <w:rPr>
          <w:b/>
        </w:rPr>
        <w:t xml:space="preserve">Комментарий: </w:t>
      </w:r>
      <w:r w:rsidR="00F352FE" w:rsidRPr="00E36DFA">
        <w:rPr>
          <w:i/>
        </w:rPr>
        <w:t>в</w:t>
      </w:r>
      <w:r w:rsidR="00CF7A54" w:rsidRPr="00E36DFA">
        <w:rPr>
          <w:i/>
        </w:rPr>
        <w:t xml:space="preserve"> крупном рандомизированном исследовании III фазы изучал</w:t>
      </w:r>
      <w:r w:rsidR="00F352FE" w:rsidRPr="00E36DFA">
        <w:rPr>
          <w:i/>
        </w:rPr>
        <w:t>и</w:t>
      </w:r>
      <w:r w:rsidR="00CF7A54" w:rsidRPr="00E36DFA">
        <w:rPr>
          <w:i/>
        </w:rPr>
        <w:t xml:space="preserve"> эффективность добавления анти-CD38 моноклонального антитела даратумумаба</w:t>
      </w:r>
      <w:r w:rsidR="003703A8" w:rsidRPr="00E36DFA">
        <w:rPr>
          <w:i/>
        </w:rPr>
        <w:t>**</w:t>
      </w:r>
      <w:r w:rsidR="00CF7A54" w:rsidRPr="00E36DFA">
        <w:rPr>
          <w:i/>
        </w:rPr>
        <w:t xml:space="preserve"> к комбинации бортезомиба</w:t>
      </w:r>
      <w:r w:rsidR="003703A8" w:rsidRPr="00E36DFA">
        <w:rPr>
          <w:i/>
        </w:rPr>
        <w:t>**</w:t>
      </w:r>
      <w:r w:rsidR="00CF7A54" w:rsidRPr="00E36DFA">
        <w:rPr>
          <w:i/>
        </w:rPr>
        <w:t>, мелфалана</w:t>
      </w:r>
      <w:r w:rsidR="003703A8" w:rsidRPr="00E36DFA">
        <w:rPr>
          <w:i/>
        </w:rPr>
        <w:t>**</w:t>
      </w:r>
      <w:r w:rsidR="00CF7A54" w:rsidRPr="00E36DFA">
        <w:rPr>
          <w:i/>
        </w:rPr>
        <w:t xml:space="preserve"> и преднизолона</w:t>
      </w:r>
      <w:r w:rsidR="003703A8" w:rsidRPr="00E36DFA">
        <w:rPr>
          <w:i/>
        </w:rPr>
        <w:t>**</w:t>
      </w:r>
      <w:r w:rsidR="00CF7A54" w:rsidRPr="00E36DFA">
        <w:rPr>
          <w:i/>
        </w:rPr>
        <w:t xml:space="preserve"> (VMP) у пациентов с впервые диагностированной ММ</w:t>
      </w:r>
      <w:r w:rsidR="00CF3917" w:rsidRPr="00E36DFA">
        <w:rPr>
          <w:i/>
        </w:rPr>
        <w:t xml:space="preserve"> −</w:t>
      </w:r>
      <w:r w:rsidR="00CF7A54" w:rsidRPr="00E36DFA">
        <w:rPr>
          <w:i/>
        </w:rPr>
        <w:t xml:space="preserve"> не кандидатов на </w:t>
      </w:r>
      <w:r w:rsidR="00CF7A54" w:rsidRPr="00267DE2">
        <w:rPr>
          <w:i/>
          <w:iCs/>
        </w:rPr>
        <w:t>ауто</w:t>
      </w:r>
      <w:r w:rsidR="00267DE2">
        <w:rPr>
          <w:i/>
          <w:iCs/>
        </w:rPr>
        <w:t>-</w:t>
      </w:r>
      <w:r w:rsidR="00CF7A54" w:rsidRPr="00267DE2">
        <w:rPr>
          <w:i/>
          <w:iCs/>
        </w:rPr>
        <w:t>ТГСК</w:t>
      </w:r>
      <w:r w:rsidR="00CF7A54" w:rsidRPr="00E36DFA">
        <w:rPr>
          <w:i/>
        </w:rPr>
        <w:t>. При медиане наблюдения 27,8 мес</w:t>
      </w:r>
      <w:r w:rsidR="00E778E9">
        <w:rPr>
          <w:i/>
          <w:iCs/>
        </w:rPr>
        <w:t>.</w:t>
      </w:r>
      <w:r w:rsidR="00CF7A54" w:rsidRPr="00E36DFA">
        <w:rPr>
          <w:i/>
        </w:rPr>
        <w:t xml:space="preserve"> 30-месячная ВБП в группе DVMP составила 60</w:t>
      </w:r>
      <w:r w:rsidR="00BE406F" w:rsidRPr="00E36DFA">
        <w:rPr>
          <w:i/>
        </w:rPr>
        <w:t> </w:t>
      </w:r>
      <w:r w:rsidR="00CF7A54" w:rsidRPr="00E36DFA">
        <w:rPr>
          <w:i/>
        </w:rPr>
        <w:t>%, а в группе VMP медиана ВБП была достигнута и составила 19,1</w:t>
      </w:r>
      <w:r w:rsidR="00BE406F" w:rsidRPr="00E36DFA">
        <w:rPr>
          <w:i/>
        </w:rPr>
        <w:t> </w:t>
      </w:r>
      <w:r w:rsidR="00CF7A54" w:rsidRPr="00E36DFA">
        <w:rPr>
          <w:i/>
        </w:rPr>
        <w:t>мес</w:t>
      </w:r>
      <w:r w:rsidR="00E778E9">
        <w:rPr>
          <w:i/>
          <w:iCs/>
        </w:rPr>
        <w:t>.</w:t>
      </w:r>
      <w:r w:rsidR="00CF7A54" w:rsidRPr="00E36DFA">
        <w:rPr>
          <w:i/>
        </w:rPr>
        <w:t xml:space="preserve"> (различия были статистически достоверны, </w:t>
      </w:r>
      <w:r w:rsidR="00CF7A54" w:rsidRPr="00267DE2">
        <w:rPr>
          <w:i/>
          <w:iCs/>
        </w:rPr>
        <w:t>p</w:t>
      </w:r>
      <w:r w:rsidR="00BE406F" w:rsidRPr="00E36DFA">
        <w:rPr>
          <w:i/>
        </w:rPr>
        <w:t xml:space="preserve"> </w:t>
      </w:r>
      <w:r w:rsidR="00CF7A54" w:rsidRPr="00E36DFA">
        <w:rPr>
          <w:i/>
        </w:rPr>
        <w:t>&lt;0,0001). Общий ответ в группе DVMP составил 91</w:t>
      </w:r>
      <w:r w:rsidR="00BE406F" w:rsidRPr="00E36DFA">
        <w:rPr>
          <w:i/>
        </w:rPr>
        <w:t> </w:t>
      </w:r>
      <w:r w:rsidR="00CF7A54" w:rsidRPr="00E36DFA">
        <w:rPr>
          <w:i/>
        </w:rPr>
        <w:t xml:space="preserve">%, а в контрольной группе </w:t>
      </w:r>
      <w:r w:rsidR="00BE406F" w:rsidRPr="00E36DFA">
        <w:rPr>
          <w:i/>
        </w:rPr>
        <w:t>–</w:t>
      </w:r>
      <w:r w:rsidR="00CF7A54" w:rsidRPr="00E36DFA">
        <w:rPr>
          <w:i/>
        </w:rPr>
        <w:t xml:space="preserve"> 74</w:t>
      </w:r>
      <w:r w:rsidR="00A619B9" w:rsidRPr="00E36DFA">
        <w:rPr>
          <w:i/>
        </w:rPr>
        <w:t> </w:t>
      </w:r>
      <w:r w:rsidR="00CF7A54" w:rsidRPr="00E36DFA">
        <w:rPr>
          <w:i/>
        </w:rPr>
        <w:t xml:space="preserve">%, при этом полный и более глубокий ответ на терапию достигался значительно чаще в группе </w:t>
      </w:r>
      <w:r w:rsidR="00CF7A54" w:rsidRPr="00E36DFA">
        <w:rPr>
          <w:i/>
        </w:rPr>
        <w:lastRenderedPageBreak/>
        <w:t>даратумумаба</w:t>
      </w:r>
      <w:r w:rsidR="003703A8" w:rsidRPr="00E36DFA">
        <w:rPr>
          <w:i/>
        </w:rPr>
        <w:t>**</w:t>
      </w:r>
      <w:r w:rsidR="00CF7A54" w:rsidRPr="00E36DFA">
        <w:rPr>
          <w:i/>
        </w:rPr>
        <w:t xml:space="preserve"> (45 и 25</w:t>
      </w:r>
      <w:r w:rsidR="00BE406F" w:rsidRPr="00E36DFA">
        <w:rPr>
          <w:i/>
        </w:rPr>
        <w:t> </w:t>
      </w:r>
      <w:r w:rsidR="00CF7A54" w:rsidRPr="00E36DFA">
        <w:rPr>
          <w:i/>
        </w:rPr>
        <w:t>% соответственно), а также частота достижения МОБ-негативности при пороге чувствительности 10</w:t>
      </w:r>
      <w:r w:rsidR="00BE406F" w:rsidRPr="00E36DFA">
        <w:rPr>
          <w:i/>
        </w:rPr>
        <w:t>−</w:t>
      </w:r>
      <w:r w:rsidR="00CF7A54" w:rsidRPr="00E36DFA">
        <w:rPr>
          <w:i/>
        </w:rPr>
        <w:t>5 была более чем в 3 раза выше в группе DVMP (27 и 7</w:t>
      </w:r>
      <w:r w:rsidR="00A619B9" w:rsidRPr="00E36DFA">
        <w:rPr>
          <w:i/>
        </w:rPr>
        <w:t> </w:t>
      </w:r>
      <w:r w:rsidR="00CF7A54" w:rsidRPr="00E36DFA">
        <w:rPr>
          <w:i/>
        </w:rPr>
        <w:t>% соответс</w:t>
      </w:r>
      <w:r w:rsidR="003703A8" w:rsidRPr="00E36DFA">
        <w:rPr>
          <w:i/>
        </w:rPr>
        <w:t>т</w:t>
      </w:r>
      <w:r w:rsidR="00CF7A54" w:rsidRPr="00E36DFA">
        <w:rPr>
          <w:i/>
        </w:rPr>
        <w:t>венно).</w:t>
      </w:r>
    </w:p>
    <w:p w:rsidR="001978D9" w:rsidRPr="00BE169C" w:rsidRDefault="00CF7A54" w:rsidP="00131E36">
      <w:pPr>
        <w:spacing w:before="0" w:after="0"/>
        <w:ind w:left="709"/>
        <w:contextualSpacing/>
      </w:pPr>
      <w:r w:rsidRPr="00CF7A54">
        <w:rPr>
          <w:i/>
        </w:rPr>
        <w:t>Добавление даратумумаба</w:t>
      </w:r>
      <w:r w:rsidR="003703A8">
        <w:rPr>
          <w:i/>
        </w:rPr>
        <w:t>**</w:t>
      </w:r>
      <w:r w:rsidRPr="00CF7A54">
        <w:rPr>
          <w:i/>
        </w:rPr>
        <w:t xml:space="preserve"> к режиму VMP не приводило к повышению токсичности: частота отмены терапии была в 2 раза ниже в группе даратумумаба</w:t>
      </w:r>
      <w:r w:rsidR="00DC74A8">
        <w:rPr>
          <w:i/>
        </w:rPr>
        <w:t>**</w:t>
      </w:r>
      <w:r w:rsidRPr="00CF7A54">
        <w:rPr>
          <w:i/>
        </w:rPr>
        <w:t xml:space="preserve"> (5</w:t>
      </w:r>
      <w:r w:rsidR="00A619B9">
        <w:rPr>
          <w:i/>
        </w:rPr>
        <w:t> </w:t>
      </w:r>
      <w:r w:rsidRPr="00CF7A54">
        <w:rPr>
          <w:i/>
        </w:rPr>
        <w:t>% при применении DVMP и 10</w:t>
      </w:r>
      <w:r w:rsidR="00A619B9">
        <w:rPr>
          <w:i/>
        </w:rPr>
        <w:t> </w:t>
      </w:r>
      <w:r w:rsidRPr="00CF7A54">
        <w:rPr>
          <w:i/>
        </w:rPr>
        <w:t xml:space="preserve">% при применении VMP). </w:t>
      </w:r>
      <w:r w:rsidRPr="003369B4">
        <w:rPr>
          <w:i/>
        </w:rPr>
        <w:t>Инфузионные реакции, обусловленные введением даратумумаба</w:t>
      </w:r>
      <w:r w:rsidR="003703A8" w:rsidRPr="003369B4">
        <w:rPr>
          <w:i/>
        </w:rPr>
        <w:t>**</w:t>
      </w:r>
      <w:r w:rsidRPr="003369B4">
        <w:rPr>
          <w:i/>
        </w:rPr>
        <w:t>, отмечались у 27,7</w:t>
      </w:r>
      <w:r w:rsidR="00A619B9">
        <w:rPr>
          <w:i/>
        </w:rPr>
        <w:t> </w:t>
      </w:r>
      <w:r w:rsidRPr="003369B4">
        <w:rPr>
          <w:i/>
        </w:rPr>
        <w:t xml:space="preserve">% пациентов и развивались в основном во время </w:t>
      </w:r>
      <w:r w:rsidR="00A619B9">
        <w:rPr>
          <w:i/>
        </w:rPr>
        <w:t>1-</w:t>
      </w:r>
      <w:r w:rsidRPr="003369B4">
        <w:rPr>
          <w:i/>
        </w:rPr>
        <w:t>го введения препарата.</w:t>
      </w:r>
    </w:p>
    <w:p w:rsidR="00354AD4" w:rsidRDefault="00354AD4" w:rsidP="00131E36">
      <w:pPr>
        <w:pStyle w:val="a5"/>
        <w:numPr>
          <w:ilvl w:val="0"/>
          <w:numId w:val="5"/>
        </w:numPr>
        <w:spacing w:before="0" w:after="0"/>
        <w:ind w:left="709" w:hanging="709"/>
      </w:pPr>
      <w:r w:rsidRPr="00BE169C">
        <w:t>Пациентам старше 65 лет с впервые диагностированной ММ – не кандидатам на ВДХТ с ауто</w:t>
      </w:r>
      <w:r w:rsidR="00267DE2">
        <w:t>-</w:t>
      </w:r>
      <w:r w:rsidRPr="00BE169C">
        <w:t>ТГСК, которым не могут быть назначены бортезомиб</w:t>
      </w:r>
      <w:r w:rsidR="007E7259" w:rsidRPr="00BE169C">
        <w:t>**</w:t>
      </w:r>
      <w:r w:rsidR="00A5418C" w:rsidRPr="00BE169C">
        <w:t xml:space="preserve"> и леналидо</w:t>
      </w:r>
      <w:r w:rsidRPr="00BE169C">
        <w:t>мид</w:t>
      </w:r>
      <w:r w:rsidR="007E7259" w:rsidRPr="00BE169C">
        <w:t>**</w:t>
      </w:r>
      <w:r w:rsidRPr="00BE169C">
        <w:t>,</w:t>
      </w:r>
      <w:r w:rsidR="00B2686F">
        <w:t xml:space="preserve"> </w:t>
      </w:r>
      <w:r w:rsidR="00FF0C02">
        <w:rPr>
          <w:b/>
        </w:rPr>
        <w:t>рекомендуется</w:t>
      </w:r>
      <w:r>
        <w:t xml:space="preserve"> проведение терапии комбинацией бендамустина</w:t>
      </w:r>
      <w:r w:rsidR="007E7259">
        <w:t>**</w:t>
      </w:r>
      <w:r>
        <w:t xml:space="preserve"> и преднизолона</w:t>
      </w:r>
      <w:r w:rsidR="007E7259">
        <w:t>**</w:t>
      </w:r>
      <w:r>
        <w:t xml:space="preserve"> (</w:t>
      </w:r>
      <w:r>
        <w:rPr>
          <w:lang w:val="en-US"/>
        </w:rPr>
        <w:t>BP</w:t>
      </w:r>
      <w:r w:rsidRPr="00E54555">
        <w:t>)</w:t>
      </w:r>
      <w:r w:rsidR="00DA70E3">
        <w:t xml:space="preserve"> (описание режимов – см. приложение </w:t>
      </w:r>
      <w:r w:rsidR="00C812D6">
        <w:t>А3.1</w:t>
      </w:r>
      <w:r w:rsidR="0081738F">
        <w:t>.</w:t>
      </w:r>
      <w:r w:rsidR="00DA70E3">
        <w:t>)</w:t>
      </w:r>
      <w:r>
        <w:t xml:space="preserve"> [</w:t>
      </w:r>
      <w:r w:rsidR="00424F28" w:rsidRPr="007E7259">
        <w:t>1</w:t>
      </w:r>
      <w:r w:rsidR="00941B7E">
        <w:t>5</w:t>
      </w:r>
      <w:r>
        <w:t>].</w:t>
      </w:r>
    </w:p>
    <w:p w:rsidR="00354AD4" w:rsidRPr="00D25605" w:rsidRDefault="00354AD4" w:rsidP="00131E36">
      <w:pPr>
        <w:spacing w:before="0" w:after="0"/>
        <w:ind w:left="709"/>
        <w:contextualSpacing/>
        <w:rPr>
          <w:b/>
        </w:rPr>
      </w:pPr>
      <w:r w:rsidRPr="00D25605">
        <w:rPr>
          <w:b/>
        </w:rPr>
        <w:t xml:space="preserve">Уровень убедительности рекомендаций </w:t>
      </w:r>
      <w:r w:rsidR="0081738F">
        <w:rPr>
          <w:b/>
        </w:rPr>
        <w:t xml:space="preserve">– </w:t>
      </w:r>
      <w:r w:rsidR="006A50CD">
        <w:rPr>
          <w:b/>
        </w:rPr>
        <w:t xml:space="preserve">С </w:t>
      </w:r>
      <w:r w:rsidRPr="00D25605">
        <w:rPr>
          <w:b/>
        </w:rPr>
        <w:t>(уровень достоверности доказательств</w:t>
      </w:r>
      <w:r w:rsidR="0081738F">
        <w:rPr>
          <w:b/>
        </w:rPr>
        <w:t xml:space="preserve"> − </w:t>
      </w:r>
      <w:r w:rsidR="006A50CD">
        <w:rPr>
          <w:b/>
        </w:rPr>
        <w:t>5</w:t>
      </w:r>
      <w:r w:rsidRPr="00D25605">
        <w:rPr>
          <w:b/>
        </w:rPr>
        <w:t>)</w:t>
      </w:r>
    </w:p>
    <w:p w:rsidR="00354AD4" w:rsidRDefault="00354AD4" w:rsidP="00131E36">
      <w:pPr>
        <w:spacing w:before="0" w:after="0"/>
        <w:ind w:left="709"/>
        <w:contextualSpacing/>
        <w:rPr>
          <w:i/>
        </w:rPr>
      </w:pPr>
      <w:r w:rsidRPr="00D25605">
        <w:rPr>
          <w:b/>
        </w:rPr>
        <w:t>Комментарий:</w:t>
      </w:r>
      <w:r w:rsidR="003369B4">
        <w:rPr>
          <w:b/>
        </w:rPr>
        <w:t xml:space="preserve"> </w:t>
      </w:r>
      <w:r w:rsidR="0081738F">
        <w:rPr>
          <w:i/>
        </w:rPr>
        <w:t>о</w:t>
      </w:r>
      <w:r w:rsidRPr="00354AD4">
        <w:rPr>
          <w:i/>
        </w:rPr>
        <w:t>снованием для использования этой программы стали результаты рандомизированного исследования по сравнению ее эффективности с традиционной ранее терапией по схеме МР. В исследовании показан</w:t>
      </w:r>
      <w:r w:rsidR="00D5457E">
        <w:rPr>
          <w:i/>
        </w:rPr>
        <w:t>ы</w:t>
      </w:r>
      <w:r w:rsidRPr="00354AD4">
        <w:rPr>
          <w:i/>
        </w:rPr>
        <w:t xml:space="preserve"> более высокая частота ПР и более длительная медиана времени до неудач лечения при использовании BP, но при этом не выявлено улучшения ОВ.</w:t>
      </w:r>
    </w:p>
    <w:p w:rsidR="00354AD4" w:rsidRDefault="00354AD4" w:rsidP="00131E36">
      <w:pPr>
        <w:pStyle w:val="a5"/>
        <w:numPr>
          <w:ilvl w:val="0"/>
          <w:numId w:val="5"/>
        </w:numPr>
        <w:spacing w:before="0" w:after="0"/>
        <w:ind w:left="709" w:hanging="709"/>
      </w:pPr>
      <w:r>
        <w:t>П</w:t>
      </w:r>
      <w:r w:rsidRPr="00F65899">
        <w:t>ациент</w:t>
      </w:r>
      <w:r>
        <w:t>ам</w:t>
      </w:r>
      <w:r w:rsidRPr="00F65899">
        <w:t>, имеющи</w:t>
      </w:r>
      <w:r>
        <w:t>м</w:t>
      </w:r>
      <w:r w:rsidRPr="00F65899">
        <w:t xml:space="preserve"> по крайней мере </w:t>
      </w:r>
      <w:r w:rsidR="0014089B">
        <w:t>1</w:t>
      </w:r>
      <w:r w:rsidRPr="00F65899">
        <w:t xml:space="preserve"> неблагоприятный фактор (возраст ≥75 лет, сопутствующие заболевания c нарушением функции органов</w:t>
      </w:r>
      <w:r w:rsidR="00946AD8" w:rsidRPr="00946AD8">
        <w:t>)</w:t>
      </w:r>
      <w:r w:rsidR="0014089B">
        <w:t>,</w:t>
      </w:r>
      <w:r w:rsidR="00946AD8" w:rsidRPr="00946AD8">
        <w:t xml:space="preserve"> </w:t>
      </w:r>
      <w:r w:rsidRPr="00354AD4">
        <w:rPr>
          <w:b/>
        </w:rPr>
        <w:t>рекомендуется</w:t>
      </w:r>
      <w:r w:rsidRPr="00F65899">
        <w:t xml:space="preserve"> соответствующая редукция доз препаратов</w:t>
      </w:r>
      <w:r w:rsidR="00FC3E67">
        <w:t xml:space="preserve"> (табл. 4)</w:t>
      </w:r>
      <w:r w:rsidR="00946AD8" w:rsidRPr="0014089B">
        <w:t xml:space="preserve"> </w:t>
      </w:r>
      <w:r w:rsidR="00A96FB6">
        <w:rPr>
          <w:lang w:val="en-US"/>
        </w:rPr>
        <w:fldChar w:fldCharType="begin" w:fldLock="1"/>
      </w:r>
      <w:r w:rsidR="00946AD8">
        <w:rPr>
          <w:lang w:val="en-US"/>
        </w:rPr>
        <w:instrText>ADDIN</w:instrText>
      </w:r>
      <w:r w:rsidR="00946AD8" w:rsidRPr="0014089B">
        <w:instrText xml:space="preserve"> </w:instrText>
      </w:r>
      <w:r w:rsidR="00946AD8">
        <w:rPr>
          <w:lang w:val="en-US"/>
        </w:rPr>
        <w:instrText>CSL</w:instrText>
      </w:r>
      <w:r w:rsidR="00946AD8" w:rsidRPr="0014089B">
        <w:instrText>_</w:instrText>
      </w:r>
      <w:r w:rsidR="00946AD8">
        <w:rPr>
          <w:lang w:val="en-US"/>
        </w:rPr>
        <w:instrText>CITATION</w:instrText>
      </w:r>
      <w:r w:rsidR="00946AD8" w:rsidRPr="0014089B">
        <w:instrText xml:space="preserve"> {"</w:instrText>
      </w:r>
      <w:r w:rsidR="00946AD8">
        <w:rPr>
          <w:lang w:val="en-US"/>
        </w:rPr>
        <w:instrText>citationItems</w:instrText>
      </w:r>
      <w:r w:rsidR="00946AD8" w:rsidRPr="0014089B">
        <w:instrText>":[{"</w:instrText>
      </w:r>
      <w:r w:rsidR="00946AD8">
        <w:rPr>
          <w:lang w:val="en-US"/>
        </w:rPr>
        <w:instrText>id</w:instrText>
      </w:r>
      <w:r w:rsidR="00946AD8" w:rsidRPr="0014089B">
        <w:instrText>":"</w:instrText>
      </w:r>
      <w:r w:rsidR="00946AD8">
        <w:rPr>
          <w:lang w:val="en-US"/>
        </w:rPr>
        <w:instrText>ITEM</w:instrText>
      </w:r>
      <w:r w:rsidR="00946AD8" w:rsidRPr="0014089B">
        <w:instrText>-1","</w:instrText>
      </w:r>
      <w:r w:rsidR="00946AD8">
        <w:rPr>
          <w:lang w:val="en-US"/>
        </w:rPr>
        <w:instrText>itemData</w:instrText>
      </w:r>
      <w:r w:rsidR="00946AD8" w:rsidRPr="0014089B">
        <w:instrText>":{"</w:instrText>
      </w:r>
      <w:r w:rsidR="00946AD8">
        <w:rPr>
          <w:lang w:val="en-US"/>
        </w:rPr>
        <w:instrText>author</w:instrText>
      </w:r>
      <w:r w:rsidR="00946AD8" w:rsidRPr="0014089B">
        <w:instrText>":[{"</w:instrText>
      </w:r>
      <w:r w:rsidR="00946AD8">
        <w:rPr>
          <w:lang w:val="en-US"/>
        </w:rPr>
        <w:instrText>dropping</w:instrText>
      </w:r>
      <w:r w:rsidR="00946AD8" w:rsidRPr="0014089B">
        <w:instrText>-</w:instrText>
      </w:r>
      <w:r w:rsidR="00946AD8">
        <w:rPr>
          <w:lang w:val="en-US"/>
        </w:rPr>
        <w:instrText>particle</w:instrText>
      </w:r>
      <w:r w:rsidR="00946AD8" w:rsidRPr="0014089B">
        <w:instrText>":"","</w:instrText>
      </w:r>
      <w:r w:rsidR="00946AD8">
        <w:rPr>
          <w:lang w:val="en-US"/>
        </w:rPr>
        <w:instrText>family</w:instrText>
      </w:r>
      <w:r w:rsidR="00946AD8" w:rsidRPr="0014089B">
        <w:instrText>":"Менделеева","</w:instrText>
      </w:r>
      <w:r w:rsidR="00946AD8">
        <w:rPr>
          <w:lang w:val="en-US"/>
        </w:rPr>
        <w:instrText>given</w:instrText>
      </w:r>
      <w:r w:rsidR="00946AD8" w:rsidRPr="0014089B">
        <w:instrText>":"Л.П.","</w:instrText>
      </w:r>
      <w:r w:rsidR="00946AD8">
        <w:rPr>
          <w:lang w:val="en-US"/>
        </w:rPr>
        <w:instrText>non</w:instrText>
      </w:r>
      <w:r w:rsidR="00946AD8" w:rsidRPr="0014089B">
        <w:instrText>-</w:instrText>
      </w:r>
      <w:r w:rsidR="00946AD8">
        <w:rPr>
          <w:lang w:val="en-US"/>
        </w:rPr>
        <w:instrText>dropping</w:instrText>
      </w:r>
      <w:r w:rsidR="00946AD8" w:rsidRPr="0014089B">
        <w:instrText>-</w:instrText>
      </w:r>
      <w:r w:rsidR="00946AD8">
        <w:rPr>
          <w:lang w:val="en-US"/>
        </w:rPr>
        <w:instrText>particle</w:instrText>
      </w:r>
      <w:r w:rsidR="00946AD8" w:rsidRPr="0014089B">
        <w:instrText>":"","</w:instrText>
      </w:r>
      <w:r w:rsidR="00946AD8">
        <w:rPr>
          <w:lang w:val="en-US"/>
        </w:rPr>
        <w:instrText>parse</w:instrText>
      </w:r>
      <w:r w:rsidR="00946AD8" w:rsidRPr="0014089B">
        <w:instrText>-</w:instrText>
      </w:r>
      <w:r w:rsidR="00946AD8">
        <w:rPr>
          <w:lang w:val="en-US"/>
        </w:rPr>
        <w:instrText>names</w:instrText>
      </w:r>
      <w:r w:rsidR="00946AD8" w:rsidRPr="0014089B">
        <w:instrText>":</w:instrText>
      </w:r>
      <w:r w:rsidR="00946AD8">
        <w:rPr>
          <w:lang w:val="en-US"/>
        </w:rPr>
        <w:instrText>false</w:instrText>
      </w:r>
      <w:r w:rsidR="00946AD8" w:rsidRPr="0014089B">
        <w:instrText>,"</w:instrText>
      </w:r>
      <w:r w:rsidR="00946AD8">
        <w:rPr>
          <w:lang w:val="en-US"/>
        </w:rPr>
        <w:instrText>suffix</w:instrText>
      </w:r>
      <w:r w:rsidR="00946AD8" w:rsidRPr="0014089B">
        <w:instrText>":""},{"</w:instrText>
      </w:r>
      <w:r w:rsidR="00946AD8">
        <w:rPr>
          <w:lang w:val="en-US"/>
        </w:rPr>
        <w:instrText>dropping</w:instrText>
      </w:r>
      <w:r w:rsidR="00946AD8" w:rsidRPr="0014089B">
        <w:instrText>-</w:instrText>
      </w:r>
      <w:r w:rsidR="00946AD8">
        <w:rPr>
          <w:lang w:val="en-US"/>
        </w:rPr>
        <w:instrText>particle</w:instrText>
      </w:r>
      <w:r w:rsidR="00946AD8" w:rsidRPr="0014089B">
        <w:instrText>":"","</w:instrText>
      </w:r>
      <w:r w:rsidR="00946AD8">
        <w:rPr>
          <w:lang w:val="en-US"/>
        </w:rPr>
        <w:instrText>family</w:instrText>
      </w:r>
      <w:r w:rsidR="00946AD8" w:rsidRPr="0014089B">
        <w:instrText>":"Вотякова","</w:instrText>
      </w:r>
      <w:r w:rsidR="00946AD8">
        <w:rPr>
          <w:lang w:val="en-US"/>
        </w:rPr>
        <w:instrText>given</w:instrText>
      </w:r>
      <w:r w:rsidR="00946AD8" w:rsidRPr="0014089B">
        <w:instrText>":"О.М.","</w:instrText>
      </w:r>
      <w:r w:rsidR="00946AD8">
        <w:rPr>
          <w:lang w:val="en-US"/>
        </w:rPr>
        <w:instrText>non</w:instrText>
      </w:r>
      <w:r w:rsidR="00946AD8" w:rsidRPr="0014089B">
        <w:instrText>-</w:instrText>
      </w:r>
      <w:r w:rsidR="00946AD8">
        <w:rPr>
          <w:lang w:val="en-US"/>
        </w:rPr>
        <w:instrText>dropping</w:instrText>
      </w:r>
      <w:r w:rsidR="00946AD8" w:rsidRPr="0014089B">
        <w:instrText>-</w:instrText>
      </w:r>
      <w:r w:rsidR="00946AD8">
        <w:rPr>
          <w:lang w:val="en-US"/>
        </w:rPr>
        <w:instrText>particle</w:instrText>
      </w:r>
      <w:r w:rsidR="00946AD8" w:rsidRPr="0014089B">
        <w:instrText>":"","</w:instrText>
      </w:r>
      <w:r w:rsidR="00946AD8">
        <w:rPr>
          <w:lang w:val="en-US"/>
        </w:rPr>
        <w:instrText>parse</w:instrText>
      </w:r>
      <w:r w:rsidR="00946AD8" w:rsidRPr="0014089B">
        <w:instrText>-</w:instrText>
      </w:r>
      <w:r w:rsidR="00946AD8">
        <w:rPr>
          <w:lang w:val="en-US"/>
        </w:rPr>
        <w:instrText>names</w:instrText>
      </w:r>
      <w:r w:rsidR="00946AD8" w:rsidRPr="0014089B">
        <w:instrText>":</w:instrText>
      </w:r>
      <w:r w:rsidR="00946AD8">
        <w:rPr>
          <w:lang w:val="en-US"/>
        </w:rPr>
        <w:instrText>false</w:instrText>
      </w:r>
      <w:r w:rsidR="00946AD8" w:rsidRPr="0014089B">
        <w:instrText>,"</w:instrText>
      </w:r>
      <w:r w:rsidR="00946AD8">
        <w:rPr>
          <w:lang w:val="en-US"/>
        </w:rPr>
        <w:instrText>suffix</w:instrText>
      </w:r>
      <w:r w:rsidR="00946AD8" w:rsidRPr="0014089B">
        <w:instrText>":""},{"</w:instrText>
      </w:r>
      <w:r w:rsidR="00946AD8">
        <w:rPr>
          <w:lang w:val="en-US"/>
        </w:rPr>
        <w:instrText>dropping</w:instrText>
      </w:r>
      <w:r w:rsidR="00946AD8" w:rsidRPr="0014089B">
        <w:instrText>-</w:instrText>
      </w:r>
      <w:r w:rsidR="00946AD8">
        <w:rPr>
          <w:lang w:val="en-US"/>
        </w:rPr>
        <w:instrText>particle</w:instrText>
      </w:r>
      <w:r w:rsidR="00946AD8" w:rsidRPr="0014089B">
        <w:instrText>":"","</w:instrText>
      </w:r>
      <w:r w:rsidR="00946AD8">
        <w:rPr>
          <w:lang w:val="en-US"/>
        </w:rPr>
        <w:instrText>family</w:instrText>
      </w:r>
      <w:r w:rsidR="00946AD8" w:rsidRPr="0014089B">
        <w:instrText>":"Рехтина","</w:instrText>
      </w:r>
      <w:r w:rsidR="00946AD8">
        <w:rPr>
          <w:lang w:val="en-US"/>
        </w:rPr>
        <w:instrText>given</w:instrText>
      </w:r>
      <w:r w:rsidR="00946AD8" w:rsidRPr="0014089B">
        <w:instrText>":"И.Г.","</w:instrText>
      </w:r>
      <w:r w:rsidR="00946AD8">
        <w:rPr>
          <w:lang w:val="en-US"/>
        </w:rPr>
        <w:instrText>non</w:instrText>
      </w:r>
      <w:r w:rsidR="00946AD8" w:rsidRPr="0014089B">
        <w:instrText>-</w:instrText>
      </w:r>
      <w:r w:rsidR="00946AD8">
        <w:rPr>
          <w:lang w:val="en-US"/>
        </w:rPr>
        <w:instrText>dropping</w:instrText>
      </w:r>
      <w:r w:rsidR="00946AD8" w:rsidRPr="0014089B">
        <w:instrText>-</w:instrText>
      </w:r>
      <w:r w:rsidR="00946AD8">
        <w:rPr>
          <w:lang w:val="en-US"/>
        </w:rPr>
        <w:instrText>particle</w:instrText>
      </w:r>
      <w:r w:rsidR="00946AD8" w:rsidRPr="0014089B">
        <w:instrText>":"","</w:instrText>
      </w:r>
      <w:r w:rsidR="00946AD8">
        <w:rPr>
          <w:lang w:val="en-US"/>
        </w:rPr>
        <w:instrText>parse</w:instrText>
      </w:r>
      <w:r w:rsidR="00946AD8" w:rsidRPr="0014089B">
        <w:instrText>-</w:instrText>
      </w:r>
      <w:r w:rsidR="00946AD8">
        <w:rPr>
          <w:lang w:val="en-US"/>
        </w:rPr>
        <w:instrText>names</w:instrText>
      </w:r>
      <w:r w:rsidR="00946AD8" w:rsidRPr="0014089B">
        <w:instrText>":</w:instrText>
      </w:r>
      <w:r w:rsidR="00946AD8">
        <w:rPr>
          <w:lang w:val="en-US"/>
        </w:rPr>
        <w:instrText>false</w:instrText>
      </w:r>
      <w:r w:rsidR="00946AD8" w:rsidRPr="0014089B">
        <w:instrText>,"</w:instrText>
      </w:r>
      <w:r w:rsidR="00946AD8">
        <w:rPr>
          <w:lang w:val="en-US"/>
        </w:rPr>
        <w:instrText>suffix</w:instrText>
      </w:r>
      <w:r w:rsidR="00946AD8" w:rsidRPr="0014089B">
        <w:instrText>":""}],"</w:instrText>
      </w:r>
      <w:r w:rsidR="00946AD8">
        <w:rPr>
          <w:lang w:val="en-US"/>
        </w:rPr>
        <w:instrText>container</w:instrText>
      </w:r>
      <w:r w:rsidR="00946AD8" w:rsidRPr="0014089B">
        <w:instrText>-</w:instrText>
      </w:r>
      <w:r w:rsidR="00946AD8">
        <w:rPr>
          <w:lang w:val="en-US"/>
        </w:rPr>
        <w:instrText>title</w:instrText>
      </w:r>
      <w:r w:rsidR="00946AD8" w:rsidRPr="0014089B">
        <w:instrText>":"Российские клинические рекомендации по диагностике и лечению злокачественных лимфопролиферативных заболеваний; под ред. И.В. Поддубной, В.Г. Савченко.","</w:instrText>
      </w:r>
      <w:r w:rsidR="00946AD8">
        <w:rPr>
          <w:lang w:val="en-US"/>
        </w:rPr>
        <w:instrText>id</w:instrText>
      </w:r>
      <w:r w:rsidR="00946AD8" w:rsidRPr="0014089B">
        <w:instrText>":"</w:instrText>
      </w:r>
      <w:r w:rsidR="00946AD8">
        <w:rPr>
          <w:lang w:val="en-US"/>
        </w:rPr>
        <w:instrText>ITEM</w:instrText>
      </w:r>
      <w:r w:rsidR="00946AD8" w:rsidRPr="0014089B">
        <w:instrText>-1","</w:instrText>
      </w:r>
      <w:r w:rsidR="00946AD8">
        <w:rPr>
          <w:lang w:val="en-US"/>
        </w:rPr>
        <w:instrText>issued</w:instrText>
      </w:r>
      <w:r w:rsidR="00946AD8" w:rsidRPr="0014089B">
        <w:instrText>":{"</w:instrText>
      </w:r>
      <w:r w:rsidR="00946AD8">
        <w:rPr>
          <w:lang w:val="en-US"/>
        </w:rPr>
        <w:instrText>date</w:instrText>
      </w:r>
      <w:r w:rsidR="00946AD8" w:rsidRPr="0014089B">
        <w:instrText>-</w:instrText>
      </w:r>
      <w:r w:rsidR="00946AD8">
        <w:rPr>
          <w:lang w:val="en-US"/>
        </w:rPr>
        <w:instrText>parts</w:instrText>
      </w:r>
      <w:r w:rsidR="00946AD8" w:rsidRPr="0014089B">
        <w:instrText>":[["2018"]]},"</w:instrText>
      </w:r>
      <w:r w:rsidR="00946AD8">
        <w:rPr>
          <w:lang w:val="en-US"/>
        </w:rPr>
        <w:instrText>page</w:instrText>
      </w:r>
      <w:r w:rsidR="00946AD8" w:rsidRPr="0014089B">
        <w:instrText>":"213-241","</w:instrText>
      </w:r>
      <w:r w:rsidR="00946AD8">
        <w:rPr>
          <w:lang w:val="en-US"/>
        </w:rPr>
        <w:instrText>publisher</w:instrText>
      </w:r>
      <w:r w:rsidR="00946AD8" w:rsidRPr="0014089B">
        <w:instrText>":"Москва","</w:instrText>
      </w:r>
      <w:r w:rsidR="00946AD8">
        <w:rPr>
          <w:lang w:val="en-US"/>
        </w:rPr>
        <w:instrText>title</w:instrText>
      </w:r>
      <w:r w:rsidR="00946AD8" w:rsidRPr="0014089B">
        <w:instrText>":"Множественная миелома","</w:instrText>
      </w:r>
      <w:r w:rsidR="00946AD8">
        <w:rPr>
          <w:lang w:val="en-US"/>
        </w:rPr>
        <w:instrText>type</w:instrText>
      </w:r>
      <w:r w:rsidR="00946AD8" w:rsidRPr="0014089B">
        <w:instrText>":"</w:instrText>
      </w:r>
      <w:r w:rsidR="00946AD8">
        <w:rPr>
          <w:lang w:val="en-US"/>
        </w:rPr>
        <w:instrText>chapter</w:instrText>
      </w:r>
      <w:r w:rsidR="00946AD8" w:rsidRPr="0014089B">
        <w:instrText>"},"</w:instrText>
      </w:r>
      <w:r w:rsidR="00946AD8">
        <w:rPr>
          <w:lang w:val="en-US"/>
        </w:rPr>
        <w:instrText>uris</w:instrText>
      </w:r>
      <w:r w:rsidR="00946AD8" w:rsidRPr="0014089B">
        <w:instrText>":["</w:instrText>
      </w:r>
      <w:r w:rsidR="00946AD8">
        <w:rPr>
          <w:lang w:val="en-US"/>
        </w:rPr>
        <w:instrText>http</w:instrText>
      </w:r>
      <w:r w:rsidR="00946AD8" w:rsidRPr="0014089B">
        <w:instrText>://</w:instrText>
      </w:r>
      <w:r w:rsidR="00946AD8">
        <w:rPr>
          <w:lang w:val="en-US"/>
        </w:rPr>
        <w:instrText>www</w:instrText>
      </w:r>
      <w:r w:rsidR="00946AD8" w:rsidRPr="0014089B">
        <w:instrText>.</w:instrText>
      </w:r>
      <w:r w:rsidR="00946AD8">
        <w:rPr>
          <w:lang w:val="en-US"/>
        </w:rPr>
        <w:instrText>mendeley</w:instrText>
      </w:r>
      <w:r w:rsidR="00946AD8" w:rsidRPr="0014089B">
        <w:instrText>.</w:instrText>
      </w:r>
      <w:r w:rsidR="00946AD8">
        <w:rPr>
          <w:lang w:val="en-US"/>
        </w:rPr>
        <w:instrText>com</w:instrText>
      </w:r>
      <w:r w:rsidR="00946AD8" w:rsidRPr="0014089B">
        <w:instrText>/</w:instrText>
      </w:r>
      <w:r w:rsidR="00946AD8">
        <w:rPr>
          <w:lang w:val="en-US"/>
        </w:rPr>
        <w:instrText>documents</w:instrText>
      </w:r>
      <w:r w:rsidR="00946AD8" w:rsidRPr="0014089B">
        <w:instrText>/?</w:instrText>
      </w:r>
      <w:r w:rsidR="00946AD8">
        <w:rPr>
          <w:lang w:val="en-US"/>
        </w:rPr>
        <w:instrText>uuid</w:instrText>
      </w:r>
      <w:r w:rsidR="00946AD8" w:rsidRPr="0014089B">
        <w:instrText>=74</w:instrText>
      </w:r>
      <w:r w:rsidR="00946AD8">
        <w:rPr>
          <w:lang w:val="en-US"/>
        </w:rPr>
        <w:instrText>f</w:instrText>
      </w:r>
      <w:r w:rsidR="00946AD8" w:rsidRPr="0014089B">
        <w:instrText>72</w:instrText>
      </w:r>
      <w:r w:rsidR="00946AD8">
        <w:rPr>
          <w:lang w:val="en-US"/>
        </w:rPr>
        <w:instrText>d</w:instrText>
      </w:r>
      <w:r w:rsidR="00946AD8" w:rsidRPr="0014089B">
        <w:instrText>23-</w:instrText>
      </w:r>
      <w:r w:rsidR="00946AD8">
        <w:rPr>
          <w:lang w:val="en-US"/>
        </w:rPr>
        <w:instrText>d</w:instrText>
      </w:r>
      <w:r w:rsidR="00946AD8" w:rsidRPr="0014089B">
        <w:instrText>025-4</w:instrText>
      </w:r>
      <w:r w:rsidR="00946AD8">
        <w:rPr>
          <w:lang w:val="en-US"/>
        </w:rPr>
        <w:instrText>daa</w:instrText>
      </w:r>
      <w:r w:rsidR="00946AD8" w:rsidRPr="0014089B">
        <w:instrText>-</w:instrText>
      </w:r>
      <w:r w:rsidR="00946AD8">
        <w:rPr>
          <w:lang w:val="en-US"/>
        </w:rPr>
        <w:instrText>a</w:instrText>
      </w:r>
      <w:r w:rsidR="00946AD8" w:rsidRPr="0014089B">
        <w:instrText>02</w:instrText>
      </w:r>
      <w:r w:rsidR="00946AD8">
        <w:rPr>
          <w:lang w:val="en-US"/>
        </w:rPr>
        <w:instrText>d</w:instrText>
      </w:r>
      <w:r w:rsidR="00946AD8" w:rsidRPr="0014089B">
        <w:instrText>-40</w:instrText>
      </w:r>
      <w:r w:rsidR="00946AD8">
        <w:rPr>
          <w:lang w:val="en-US"/>
        </w:rPr>
        <w:instrText>d</w:instrText>
      </w:r>
      <w:r w:rsidR="00946AD8" w:rsidRPr="0014089B">
        <w:instrText>14</w:instrText>
      </w:r>
      <w:r w:rsidR="00946AD8">
        <w:rPr>
          <w:lang w:val="en-US"/>
        </w:rPr>
        <w:instrText>fc</w:instrText>
      </w:r>
      <w:r w:rsidR="00946AD8" w:rsidRPr="0014089B">
        <w:instrText>77</w:instrText>
      </w:r>
      <w:r w:rsidR="00946AD8">
        <w:rPr>
          <w:lang w:val="en-US"/>
        </w:rPr>
        <w:instrText>cc</w:instrText>
      </w:r>
      <w:r w:rsidR="00946AD8" w:rsidRPr="0014089B">
        <w:instrText>4"]}],"</w:instrText>
      </w:r>
      <w:r w:rsidR="00946AD8">
        <w:rPr>
          <w:lang w:val="en-US"/>
        </w:rPr>
        <w:instrText>mendeley</w:instrText>
      </w:r>
      <w:r w:rsidR="00946AD8" w:rsidRPr="0014089B">
        <w:instrText>":{"</w:instrText>
      </w:r>
      <w:r w:rsidR="00946AD8">
        <w:rPr>
          <w:lang w:val="en-US"/>
        </w:rPr>
        <w:instrText>formattedCitation</w:instrText>
      </w:r>
      <w:r w:rsidR="00946AD8" w:rsidRPr="0014089B">
        <w:instrText>":"[1]","</w:instrText>
      </w:r>
      <w:r w:rsidR="00946AD8">
        <w:rPr>
          <w:lang w:val="en-US"/>
        </w:rPr>
        <w:instrText>plainTextFormattedCitation</w:instrText>
      </w:r>
      <w:r w:rsidR="00946AD8" w:rsidRPr="0014089B">
        <w:instrText>":"[1]","</w:instrText>
      </w:r>
      <w:r w:rsidR="00946AD8">
        <w:rPr>
          <w:lang w:val="en-US"/>
        </w:rPr>
        <w:instrText>previouslyFormattedCitation</w:instrText>
      </w:r>
      <w:r w:rsidR="00946AD8" w:rsidRPr="0014089B">
        <w:instrText>":"[1]"},"</w:instrText>
      </w:r>
      <w:r w:rsidR="00946AD8">
        <w:rPr>
          <w:lang w:val="en-US"/>
        </w:rPr>
        <w:instrText>properties</w:instrText>
      </w:r>
      <w:r w:rsidR="00946AD8" w:rsidRPr="0014089B">
        <w:instrText>":{"</w:instrText>
      </w:r>
      <w:r w:rsidR="00946AD8">
        <w:rPr>
          <w:lang w:val="en-US"/>
        </w:rPr>
        <w:instrText>noteIndex</w:instrText>
      </w:r>
      <w:r w:rsidR="00946AD8" w:rsidRPr="0014089B">
        <w:instrText>":0},"</w:instrText>
      </w:r>
      <w:r w:rsidR="00946AD8">
        <w:rPr>
          <w:lang w:val="en-US"/>
        </w:rPr>
        <w:instrText>schema</w:instrText>
      </w:r>
      <w:r w:rsidR="00946AD8" w:rsidRPr="0014089B">
        <w:instrText>":"</w:instrText>
      </w:r>
      <w:r w:rsidR="00946AD8">
        <w:rPr>
          <w:lang w:val="en-US"/>
        </w:rPr>
        <w:instrText>https</w:instrText>
      </w:r>
      <w:r w:rsidR="00946AD8" w:rsidRPr="0014089B">
        <w:instrText>://</w:instrText>
      </w:r>
      <w:r w:rsidR="00946AD8">
        <w:rPr>
          <w:lang w:val="en-US"/>
        </w:rPr>
        <w:instrText>github</w:instrText>
      </w:r>
      <w:r w:rsidR="00946AD8" w:rsidRPr="0014089B">
        <w:instrText>.</w:instrText>
      </w:r>
      <w:r w:rsidR="00946AD8">
        <w:rPr>
          <w:lang w:val="en-US"/>
        </w:rPr>
        <w:instrText>com</w:instrText>
      </w:r>
      <w:r w:rsidR="00946AD8" w:rsidRPr="0014089B">
        <w:instrText>/</w:instrText>
      </w:r>
      <w:r w:rsidR="00946AD8">
        <w:rPr>
          <w:lang w:val="en-US"/>
        </w:rPr>
        <w:instrText>citation</w:instrText>
      </w:r>
      <w:r w:rsidR="00946AD8" w:rsidRPr="0014089B">
        <w:instrText>-</w:instrText>
      </w:r>
      <w:r w:rsidR="00946AD8">
        <w:rPr>
          <w:lang w:val="en-US"/>
        </w:rPr>
        <w:instrText>style</w:instrText>
      </w:r>
      <w:r w:rsidR="00946AD8" w:rsidRPr="0014089B">
        <w:instrText>-</w:instrText>
      </w:r>
      <w:r w:rsidR="00946AD8">
        <w:rPr>
          <w:lang w:val="en-US"/>
        </w:rPr>
        <w:instrText>language</w:instrText>
      </w:r>
      <w:r w:rsidR="00946AD8" w:rsidRPr="0014089B">
        <w:instrText>/</w:instrText>
      </w:r>
      <w:r w:rsidR="00946AD8">
        <w:rPr>
          <w:lang w:val="en-US"/>
        </w:rPr>
        <w:instrText>schema</w:instrText>
      </w:r>
      <w:r w:rsidR="00946AD8" w:rsidRPr="0014089B">
        <w:instrText>/</w:instrText>
      </w:r>
      <w:r w:rsidR="00946AD8">
        <w:rPr>
          <w:lang w:val="en-US"/>
        </w:rPr>
        <w:instrText>raw</w:instrText>
      </w:r>
      <w:r w:rsidR="00946AD8" w:rsidRPr="0014089B">
        <w:instrText>/</w:instrText>
      </w:r>
      <w:r w:rsidR="00946AD8">
        <w:rPr>
          <w:lang w:val="en-US"/>
        </w:rPr>
        <w:instrText>master</w:instrText>
      </w:r>
      <w:r w:rsidR="00946AD8" w:rsidRPr="0014089B">
        <w:instrText>/</w:instrText>
      </w:r>
      <w:r w:rsidR="00946AD8">
        <w:rPr>
          <w:lang w:val="en-US"/>
        </w:rPr>
        <w:instrText>csl</w:instrText>
      </w:r>
      <w:r w:rsidR="00946AD8" w:rsidRPr="0014089B">
        <w:instrText>-</w:instrText>
      </w:r>
      <w:r w:rsidR="00946AD8">
        <w:rPr>
          <w:lang w:val="en-US"/>
        </w:rPr>
        <w:instrText>citation</w:instrText>
      </w:r>
      <w:r w:rsidR="00946AD8" w:rsidRPr="0014089B">
        <w:instrText>.</w:instrText>
      </w:r>
      <w:r w:rsidR="00946AD8">
        <w:rPr>
          <w:lang w:val="en-US"/>
        </w:rPr>
        <w:instrText>json</w:instrText>
      </w:r>
      <w:r w:rsidR="00946AD8" w:rsidRPr="0014089B">
        <w:instrText>"}</w:instrText>
      </w:r>
      <w:r w:rsidR="00A96FB6">
        <w:rPr>
          <w:lang w:val="en-US"/>
        </w:rPr>
        <w:fldChar w:fldCharType="separate"/>
      </w:r>
      <w:r w:rsidR="00946AD8" w:rsidRPr="0014089B">
        <w:rPr>
          <w:noProof/>
        </w:rPr>
        <w:t>[1]</w:t>
      </w:r>
      <w:r w:rsidR="00A96FB6">
        <w:rPr>
          <w:lang w:val="en-US"/>
        </w:rPr>
        <w:fldChar w:fldCharType="end"/>
      </w:r>
      <w:r>
        <w:t>.</w:t>
      </w:r>
    </w:p>
    <w:p w:rsidR="00FC3E67" w:rsidRPr="00D25605" w:rsidRDefault="00FC3E67" w:rsidP="00131E36">
      <w:pPr>
        <w:spacing w:before="0" w:after="0"/>
        <w:ind w:left="709"/>
        <w:contextualSpacing/>
        <w:rPr>
          <w:b/>
        </w:rPr>
      </w:pPr>
      <w:r w:rsidRPr="00D25605">
        <w:rPr>
          <w:b/>
        </w:rPr>
        <w:t xml:space="preserve">Уровень убедительности рекомендаций </w:t>
      </w:r>
      <w:r w:rsidR="0014089B">
        <w:rPr>
          <w:b/>
        </w:rPr>
        <w:t xml:space="preserve">− </w:t>
      </w:r>
      <w:r w:rsidR="000558B2">
        <w:rPr>
          <w:b/>
          <w:lang w:val="en-US"/>
        </w:rPr>
        <w:t>C</w:t>
      </w:r>
      <w:r w:rsidR="003369B4">
        <w:rPr>
          <w:b/>
        </w:rPr>
        <w:t xml:space="preserve"> </w:t>
      </w:r>
      <w:r w:rsidRPr="00D25605">
        <w:rPr>
          <w:b/>
        </w:rPr>
        <w:t>(уровень достоверности доказательств</w:t>
      </w:r>
      <w:r w:rsidR="000558B2">
        <w:rPr>
          <w:b/>
        </w:rPr>
        <w:t xml:space="preserve"> </w:t>
      </w:r>
      <w:r w:rsidR="0014089B">
        <w:rPr>
          <w:b/>
        </w:rPr>
        <w:t xml:space="preserve">− </w:t>
      </w:r>
      <w:r w:rsidR="000558B2">
        <w:rPr>
          <w:b/>
        </w:rPr>
        <w:t>5</w:t>
      </w:r>
      <w:r w:rsidRPr="00D25605">
        <w:rPr>
          <w:b/>
        </w:rPr>
        <w:t>)</w:t>
      </w:r>
    </w:p>
    <w:p w:rsidR="00FC3E67" w:rsidRPr="00B97428" w:rsidRDefault="00FC3E67" w:rsidP="00131E36">
      <w:pPr>
        <w:spacing w:before="0" w:after="0"/>
        <w:ind w:firstLine="708"/>
        <w:rPr>
          <w:rFonts w:eastAsia="Times New Roman"/>
          <w:i/>
        </w:rPr>
      </w:pPr>
      <w:r w:rsidRPr="00B97428">
        <w:rPr>
          <w:rFonts w:eastAsia="Times New Roman"/>
          <w:b/>
          <w:i/>
        </w:rPr>
        <w:t>Таблица 4.</w:t>
      </w:r>
      <w:r w:rsidR="00463342" w:rsidRPr="00B97428">
        <w:rPr>
          <w:rFonts w:eastAsia="Times New Roman"/>
          <w:b/>
          <w:i/>
        </w:rPr>
        <w:t xml:space="preserve"> </w:t>
      </w:r>
      <w:r w:rsidRPr="00B97428">
        <w:rPr>
          <w:rFonts w:eastAsia="Times New Roman"/>
          <w:bCs/>
          <w:i/>
        </w:rPr>
        <w:t xml:space="preserve">Рекомендации по снижению доз препаратов у пожилых </w:t>
      </w:r>
      <w:r w:rsidR="00FB03BB" w:rsidRPr="00B97428">
        <w:rPr>
          <w:rFonts w:eastAsia="Times New Roman"/>
          <w:bCs/>
          <w:i/>
        </w:rPr>
        <w:t>пациентов</w:t>
      </w:r>
      <w:r w:rsidRPr="00B97428">
        <w:rPr>
          <w:rFonts w:eastAsia="Times New Roman"/>
          <w:bCs/>
          <w:i/>
        </w:rPr>
        <w:t xml:space="preserve"> ММ</w:t>
      </w:r>
    </w:p>
    <w:tbl>
      <w:tblPr>
        <w:tblW w:w="0" w:type="auto"/>
        <w:tblInd w:w="392" w:type="dxa"/>
        <w:tblLayout w:type="fixed"/>
        <w:tblLook w:val="0000" w:firstRow="0" w:lastRow="0" w:firstColumn="0" w:lastColumn="0" w:noHBand="0" w:noVBand="0"/>
      </w:tblPr>
      <w:tblGrid>
        <w:gridCol w:w="1902"/>
        <w:gridCol w:w="2186"/>
        <w:gridCol w:w="2186"/>
        <w:gridCol w:w="2326"/>
      </w:tblGrid>
      <w:tr w:rsidR="00FC3E67" w:rsidRPr="00890289" w:rsidTr="00E36DFA">
        <w:tc>
          <w:tcPr>
            <w:tcW w:w="1902" w:type="dxa"/>
            <w:tcBorders>
              <w:top w:val="single" w:sz="4" w:space="0" w:color="auto"/>
              <w:left w:val="single" w:sz="4" w:space="0" w:color="auto"/>
            </w:tcBorders>
            <w:shd w:val="clear" w:color="auto" w:fill="auto"/>
          </w:tcPr>
          <w:p w:rsidR="00FC3E67" w:rsidRPr="00890289" w:rsidRDefault="00FC3E67" w:rsidP="00131E36">
            <w:pPr>
              <w:snapToGrid w:val="0"/>
              <w:spacing w:before="0" w:after="0"/>
              <w:jc w:val="center"/>
              <w:rPr>
                <w:rFonts w:eastAsia="Times New Roman"/>
              </w:rPr>
            </w:pPr>
          </w:p>
        </w:tc>
        <w:tc>
          <w:tcPr>
            <w:tcW w:w="6698" w:type="dxa"/>
            <w:gridSpan w:val="3"/>
            <w:tcBorders>
              <w:top w:val="single" w:sz="4" w:space="0" w:color="000000"/>
              <w:left w:val="single" w:sz="4" w:space="0" w:color="000000"/>
              <w:bottom w:val="single" w:sz="4" w:space="0" w:color="000000"/>
              <w:right w:val="single" w:sz="4" w:space="0" w:color="000000"/>
            </w:tcBorders>
            <w:shd w:val="clear" w:color="auto" w:fill="auto"/>
          </w:tcPr>
          <w:p w:rsidR="00FC3E67" w:rsidRPr="00890289" w:rsidRDefault="00FC3E67" w:rsidP="00131E36">
            <w:pPr>
              <w:snapToGrid w:val="0"/>
              <w:spacing w:before="0" w:after="0"/>
              <w:jc w:val="center"/>
              <w:rPr>
                <w:rFonts w:eastAsia="Times New Roman"/>
                <w:lang w:val="en-US"/>
              </w:rPr>
            </w:pPr>
            <w:r w:rsidRPr="00890289">
              <w:rPr>
                <w:rFonts w:eastAsia="Times New Roman"/>
              </w:rPr>
              <w:t>Уровень дозы</w:t>
            </w:r>
          </w:p>
        </w:tc>
      </w:tr>
      <w:tr w:rsidR="00FC3E67" w:rsidRPr="00890289" w:rsidTr="00E36DFA">
        <w:tc>
          <w:tcPr>
            <w:tcW w:w="1902" w:type="dxa"/>
            <w:tcBorders>
              <w:left w:val="single" w:sz="4" w:space="0" w:color="auto"/>
              <w:bottom w:val="single" w:sz="4" w:space="0" w:color="auto"/>
            </w:tcBorders>
            <w:shd w:val="clear" w:color="auto" w:fill="auto"/>
          </w:tcPr>
          <w:p w:rsidR="00FC3E67" w:rsidRPr="00890289" w:rsidRDefault="00FC3E67" w:rsidP="00131E36">
            <w:pPr>
              <w:snapToGrid w:val="0"/>
              <w:spacing w:before="0" w:after="0"/>
              <w:rPr>
                <w:rFonts w:eastAsia="Times New Roman"/>
                <w:lang w:val="en-US"/>
              </w:rPr>
            </w:pPr>
            <w:r w:rsidRPr="00890289">
              <w:rPr>
                <w:rFonts w:eastAsia="Times New Roman"/>
                <w:lang w:val="en-US"/>
              </w:rPr>
              <w:t>Лекарственныйпрепарат</w:t>
            </w:r>
          </w:p>
        </w:tc>
        <w:tc>
          <w:tcPr>
            <w:tcW w:w="2186" w:type="dxa"/>
            <w:tcBorders>
              <w:left w:val="single" w:sz="4" w:space="0" w:color="000000"/>
              <w:bottom w:val="single" w:sz="4" w:space="0" w:color="000000"/>
            </w:tcBorders>
            <w:shd w:val="clear" w:color="auto" w:fill="auto"/>
          </w:tcPr>
          <w:p w:rsidR="00FC3E67" w:rsidRPr="00890289" w:rsidRDefault="00FC3E67" w:rsidP="00131E36">
            <w:pPr>
              <w:snapToGrid w:val="0"/>
              <w:spacing w:before="0" w:after="0"/>
              <w:jc w:val="center"/>
              <w:rPr>
                <w:rFonts w:eastAsia="Times New Roman"/>
                <w:lang w:val="en-US"/>
              </w:rPr>
            </w:pPr>
            <w:r w:rsidRPr="00890289">
              <w:rPr>
                <w:rFonts w:eastAsia="Times New Roman"/>
                <w:lang w:val="en-US"/>
              </w:rPr>
              <w:t>0</w:t>
            </w:r>
          </w:p>
        </w:tc>
        <w:tc>
          <w:tcPr>
            <w:tcW w:w="2186" w:type="dxa"/>
            <w:tcBorders>
              <w:left w:val="single" w:sz="4" w:space="0" w:color="000000"/>
              <w:bottom w:val="single" w:sz="4" w:space="0" w:color="000000"/>
            </w:tcBorders>
            <w:shd w:val="clear" w:color="auto" w:fill="auto"/>
          </w:tcPr>
          <w:p w:rsidR="00FC3E67" w:rsidRPr="00890289" w:rsidRDefault="00FC3E67" w:rsidP="00131E36">
            <w:pPr>
              <w:snapToGrid w:val="0"/>
              <w:spacing w:before="0" w:after="0"/>
              <w:jc w:val="center"/>
              <w:rPr>
                <w:rFonts w:eastAsia="Times New Roman"/>
                <w:lang w:val="en-US"/>
              </w:rPr>
            </w:pPr>
            <w:r w:rsidRPr="00890289">
              <w:rPr>
                <w:rFonts w:eastAsia="Times New Roman"/>
                <w:lang w:val="en-US"/>
              </w:rPr>
              <w:t>1</w:t>
            </w:r>
          </w:p>
        </w:tc>
        <w:tc>
          <w:tcPr>
            <w:tcW w:w="2326" w:type="dxa"/>
            <w:tcBorders>
              <w:left w:val="single" w:sz="4" w:space="0" w:color="000000"/>
              <w:bottom w:val="single" w:sz="4" w:space="0" w:color="000000"/>
              <w:right w:val="single" w:sz="4" w:space="0" w:color="000000"/>
            </w:tcBorders>
            <w:shd w:val="clear" w:color="auto" w:fill="auto"/>
          </w:tcPr>
          <w:p w:rsidR="00FC3E67" w:rsidRPr="00890289" w:rsidRDefault="00FC3E67" w:rsidP="00131E36">
            <w:pPr>
              <w:snapToGrid w:val="0"/>
              <w:spacing w:before="0" w:after="0"/>
              <w:jc w:val="center"/>
              <w:rPr>
                <w:rFonts w:eastAsia="Times New Roman"/>
                <w:lang w:val="en-US"/>
              </w:rPr>
            </w:pPr>
            <w:r w:rsidRPr="00890289">
              <w:rPr>
                <w:rFonts w:eastAsia="Times New Roman"/>
                <w:lang w:val="en-US"/>
              </w:rPr>
              <w:t>2</w:t>
            </w:r>
          </w:p>
        </w:tc>
      </w:tr>
      <w:tr w:rsidR="00FC3E67" w:rsidRPr="00890289" w:rsidTr="00E36DFA">
        <w:tc>
          <w:tcPr>
            <w:tcW w:w="1902" w:type="dxa"/>
            <w:tcBorders>
              <w:top w:val="single" w:sz="4" w:space="0" w:color="auto"/>
              <w:left w:val="single" w:sz="4" w:space="0" w:color="000000"/>
              <w:bottom w:val="single" w:sz="4" w:space="0" w:color="000000"/>
            </w:tcBorders>
            <w:shd w:val="clear" w:color="auto" w:fill="auto"/>
          </w:tcPr>
          <w:p w:rsidR="00FC3E67" w:rsidRPr="00890289" w:rsidRDefault="00FC3E67" w:rsidP="00131E36">
            <w:pPr>
              <w:snapToGrid w:val="0"/>
              <w:spacing w:before="0" w:after="0"/>
              <w:rPr>
                <w:rFonts w:eastAsia="Times New Roman"/>
                <w:iCs/>
              </w:rPr>
            </w:pPr>
            <w:r w:rsidRPr="00890289">
              <w:rPr>
                <w:rFonts w:eastAsia="Times New Roman"/>
                <w:lang w:val="en-US"/>
              </w:rPr>
              <w:t>Бортезомиб</w:t>
            </w:r>
            <w:r w:rsidR="007E7259" w:rsidRPr="00890289">
              <w:rPr>
                <w:rFonts w:eastAsia="Times New Roman"/>
              </w:rPr>
              <w:t>**</w:t>
            </w:r>
          </w:p>
        </w:tc>
        <w:tc>
          <w:tcPr>
            <w:tcW w:w="2186" w:type="dxa"/>
            <w:tcBorders>
              <w:left w:val="single" w:sz="4" w:space="0" w:color="000000"/>
              <w:bottom w:val="single" w:sz="4" w:space="0" w:color="000000"/>
            </w:tcBorders>
            <w:shd w:val="clear" w:color="auto" w:fill="auto"/>
          </w:tcPr>
          <w:p w:rsidR="00FC3E67" w:rsidRPr="00890289" w:rsidRDefault="00FC3E67" w:rsidP="00131E36">
            <w:pPr>
              <w:snapToGrid w:val="0"/>
              <w:spacing w:before="0" w:after="0"/>
              <w:jc w:val="left"/>
              <w:rPr>
                <w:rFonts w:eastAsia="Times New Roman"/>
                <w:iCs/>
              </w:rPr>
            </w:pPr>
            <w:r w:rsidRPr="00890289">
              <w:rPr>
                <w:rFonts w:eastAsia="Times New Roman"/>
                <w:iCs/>
              </w:rPr>
              <w:t>1,3 мг/м</w:t>
            </w:r>
            <w:r w:rsidRPr="00890289">
              <w:rPr>
                <w:rFonts w:eastAsia="Times New Roman"/>
                <w:iCs/>
                <w:vertAlign w:val="superscript"/>
              </w:rPr>
              <w:t xml:space="preserve">2 </w:t>
            </w:r>
          </w:p>
          <w:p w:rsidR="00FC3E67" w:rsidRPr="00890289" w:rsidRDefault="00FC3E67" w:rsidP="00131E36">
            <w:pPr>
              <w:spacing w:before="0" w:after="0"/>
              <w:jc w:val="left"/>
              <w:rPr>
                <w:rFonts w:eastAsia="Times New Roman"/>
                <w:iCs/>
              </w:rPr>
            </w:pPr>
            <w:r w:rsidRPr="00890289">
              <w:rPr>
                <w:rFonts w:eastAsia="Times New Roman"/>
                <w:iCs/>
              </w:rPr>
              <w:t>дни: 1,</w:t>
            </w:r>
            <w:r w:rsidR="00655135" w:rsidRPr="00890289">
              <w:rPr>
                <w:rFonts w:eastAsia="Times New Roman"/>
                <w:iCs/>
              </w:rPr>
              <w:t xml:space="preserve"> </w:t>
            </w:r>
            <w:r w:rsidRPr="00890289">
              <w:rPr>
                <w:rFonts w:eastAsia="Times New Roman"/>
                <w:iCs/>
              </w:rPr>
              <w:t>4,</w:t>
            </w:r>
            <w:r w:rsidR="00655135" w:rsidRPr="00890289">
              <w:rPr>
                <w:rFonts w:eastAsia="Times New Roman"/>
                <w:iCs/>
              </w:rPr>
              <w:t xml:space="preserve"> </w:t>
            </w:r>
            <w:r w:rsidRPr="00890289">
              <w:rPr>
                <w:rFonts w:eastAsia="Times New Roman"/>
                <w:iCs/>
              </w:rPr>
              <w:t>8,</w:t>
            </w:r>
            <w:r w:rsidR="00655135" w:rsidRPr="00890289">
              <w:rPr>
                <w:rFonts w:eastAsia="Times New Roman"/>
                <w:iCs/>
              </w:rPr>
              <w:t xml:space="preserve"> </w:t>
            </w:r>
            <w:r w:rsidRPr="00890289">
              <w:rPr>
                <w:rFonts w:eastAsia="Times New Roman"/>
                <w:iCs/>
              </w:rPr>
              <w:t>11</w:t>
            </w:r>
            <w:r w:rsidR="00655135" w:rsidRPr="00890289">
              <w:rPr>
                <w:rFonts w:eastAsia="Times New Roman"/>
                <w:iCs/>
              </w:rPr>
              <w:t>-й</w:t>
            </w:r>
            <w:r w:rsidRPr="00890289">
              <w:rPr>
                <w:rFonts w:eastAsia="Times New Roman"/>
                <w:iCs/>
              </w:rPr>
              <w:t xml:space="preserve"> </w:t>
            </w:r>
          </w:p>
          <w:p w:rsidR="00FC3E67" w:rsidRPr="00890289" w:rsidRDefault="00FC3E67" w:rsidP="00655135">
            <w:pPr>
              <w:spacing w:before="0" w:after="0"/>
              <w:jc w:val="left"/>
              <w:rPr>
                <w:rFonts w:eastAsia="Times New Roman"/>
                <w:iCs/>
              </w:rPr>
            </w:pPr>
            <w:r w:rsidRPr="00890289">
              <w:rPr>
                <w:rFonts w:eastAsia="Times New Roman"/>
                <w:iCs/>
              </w:rPr>
              <w:t>каждые 3 нед</w:t>
            </w:r>
          </w:p>
        </w:tc>
        <w:tc>
          <w:tcPr>
            <w:tcW w:w="2186" w:type="dxa"/>
            <w:tcBorders>
              <w:left w:val="single" w:sz="4" w:space="0" w:color="000000"/>
              <w:bottom w:val="single" w:sz="4" w:space="0" w:color="000000"/>
            </w:tcBorders>
            <w:shd w:val="clear" w:color="auto" w:fill="auto"/>
          </w:tcPr>
          <w:p w:rsidR="00FC3E67" w:rsidRPr="00890289" w:rsidRDefault="00FC3E67" w:rsidP="00131E36">
            <w:pPr>
              <w:snapToGrid w:val="0"/>
              <w:spacing w:before="0" w:after="0"/>
              <w:jc w:val="left"/>
              <w:rPr>
                <w:rFonts w:eastAsia="Times New Roman"/>
                <w:iCs/>
              </w:rPr>
            </w:pPr>
            <w:r w:rsidRPr="00890289">
              <w:rPr>
                <w:rFonts w:eastAsia="Times New Roman"/>
                <w:iCs/>
              </w:rPr>
              <w:t>1,3 мг/м</w:t>
            </w:r>
            <w:r w:rsidRPr="00890289">
              <w:rPr>
                <w:rFonts w:eastAsia="Times New Roman"/>
                <w:iCs/>
                <w:vertAlign w:val="superscript"/>
              </w:rPr>
              <w:t>2</w:t>
            </w:r>
            <w:r w:rsidRPr="00890289">
              <w:rPr>
                <w:rFonts w:eastAsia="Times New Roman"/>
                <w:iCs/>
              </w:rPr>
              <w:t xml:space="preserve"> 1 раз в неделю</w:t>
            </w:r>
          </w:p>
          <w:p w:rsidR="00FC3E67" w:rsidRPr="00890289" w:rsidRDefault="00FC3E67" w:rsidP="00655135">
            <w:pPr>
              <w:spacing w:before="0" w:after="0"/>
              <w:jc w:val="left"/>
              <w:rPr>
                <w:rFonts w:eastAsia="Times New Roman"/>
                <w:iCs/>
              </w:rPr>
            </w:pPr>
            <w:r w:rsidRPr="00890289">
              <w:rPr>
                <w:rFonts w:eastAsia="Times New Roman"/>
                <w:iCs/>
              </w:rPr>
              <w:t>дни: 1,</w:t>
            </w:r>
            <w:r w:rsidR="00655135" w:rsidRPr="00890289">
              <w:rPr>
                <w:rFonts w:eastAsia="Times New Roman"/>
                <w:iCs/>
              </w:rPr>
              <w:t xml:space="preserve"> </w:t>
            </w:r>
            <w:r w:rsidRPr="00890289">
              <w:rPr>
                <w:rFonts w:eastAsia="Times New Roman"/>
                <w:iCs/>
              </w:rPr>
              <w:t>8,</w:t>
            </w:r>
            <w:r w:rsidR="00655135" w:rsidRPr="00890289">
              <w:rPr>
                <w:rFonts w:eastAsia="Times New Roman"/>
                <w:iCs/>
              </w:rPr>
              <w:t xml:space="preserve"> </w:t>
            </w:r>
            <w:r w:rsidRPr="00890289">
              <w:rPr>
                <w:rFonts w:eastAsia="Times New Roman"/>
                <w:iCs/>
              </w:rPr>
              <w:t>15,</w:t>
            </w:r>
            <w:r w:rsidR="00655135" w:rsidRPr="00890289">
              <w:rPr>
                <w:rFonts w:eastAsia="Times New Roman"/>
                <w:iCs/>
              </w:rPr>
              <w:t xml:space="preserve"> </w:t>
            </w:r>
            <w:r w:rsidRPr="00890289">
              <w:rPr>
                <w:rFonts w:eastAsia="Times New Roman"/>
                <w:iCs/>
              </w:rPr>
              <w:t>22</w:t>
            </w:r>
            <w:r w:rsidR="00655135" w:rsidRPr="00890289">
              <w:rPr>
                <w:rFonts w:eastAsia="Times New Roman"/>
                <w:iCs/>
              </w:rPr>
              <w:t>-й</w:t>
            </w:r>
            <w:r w:rsidRPr="00890289">
              <w:rPr>
                <w:rFonts w:eastAsia="Times New Roman"/>
                <w:iCs/>
              </w:rPr>
              <w:t xml:space="preserve"> каждые 5 нед</w:t>
            </w:r>
          </w:p>
        </w:tc>
        <w:tc>
          <w:tcPr>
            <w:tcW w:w="2326" w:type="dxa"/>
            <w:tcBorders>
              <w:left w:val="single" w:sz="4" w:space="0" w:color="000000"/>
              <w:bottom w:val="single" w:sz="4" w:space="0" w:color="000000"/>
              <w:right w:val="single" w:sz="4" w:space="0" w:color="000000"/>
            </w:tcBorders>
            <w:shd w:val="clear" w:color="auto" w:fill="auto"/>
          </w:tcPr>
          <w:p w:rsidR="00FC3E67" w:rsidRPr="00890289" w:rsidRDefault="00FC3E67" w:rsidP="00131E36">
            <w:pPr>
              <w:snapToGrid w:val="0"/>
              <w:spacing w:before="0" w:after="0"/>
              <w:jc w:val="left"/>
              <w:rPr>
                <w:rFonts w:eastAsia="Times New Roman"/>
                <w:iCs/>
              </w:rPr>
            </w:pPr>
            <w:r w:rsidRPr="00890289">
              <w:rPr>
                <w:rFonts w:eastAsia="Times New Roman"/>
                <w:iCs/>
              </w:rPr>
              <w:t>1,0 мг/м</w:t>
            </w:r>
            <w:r w:rsidRPr="00890289">
              <w:rPr>
                <w:rFonts w:eastAsia="Times New Roman"/>
                <w:iCs/>
                <w:vertAlign w:val="superscript"/>
              </w:rPr>
              <w:t>2</w:t>
            </w:r>
            <w:r w:rsidRPr="00890289">
              <w:rPr>
                <w:rFonts w:eastAsia="Times New Roman"/>
                <w:iCs/>
              </w:rPr>
              <w:t xml:space="preserve"> 1 раз в неделю </w:t>
            </w:r>
          </w:p>
          <w:p w:rsidR="00FC3E67" w:rsidRPr="00890289" w:rsidRDefault="00FC3E67" w:rsidP="00655135">
            <w:pPr>
              <w:spacing w:before="0" w:after="0"/>
              <w:jc w:val="left"/>
              <w:rPr>
                <w:rFonts w:eastAsia="Times New Roman"/>
              </w:rPr>
            </w:pPr>
            <w:r w:rsidRPr="00890289">
              <w:rPr>
                <w:rFonts w:eastAsia="Times New Roman"/>
                <w:iCs/>
              </w:rPr>
              <w:t>дни: 1,</w:t>
            </w:r>
            <w:r w:rsidR="00655135" w:rsidRPr="00890289">
              <w:rPr>
                <w:rFonts w:eastAsia="Times New Roman"/>
                <w:iCs/>
              </w:rPr>
              <w:t xml:space="preserve"> </w:t>
            </w:r>
            <w:r w:rsidRPr="00890289">
              <w:rPr>
                <w:rFonts w:eastAsia="Times New Roman"/>
                <w:iCs/>
              </w:rPr>
              <w:t>8,</w:t>
            </w:r>
            <w:r w:rsidR="00655135" w:rsidRPr="00890289">
              <w:rPr>
                <w:rFonts w:eastAsia="Times New Roman"/>
                <w:iCs/>
              </w:rPr>
              <w:t xml:space="preserve"> </w:t>
            </w:r>
            <w:r w:rsidRPr="00890289">
              <w:rPr>
                <w:rFonts w:eastAsia="Times New Roman"/>
                <w:iCs/>
              </w:rPr>
              <w:t>15,</w:t>
            </w:r>
            <w:r w:rsidR="00655135" w:rsidRPr="00890289">
              <w:rPr>
                <w:rFonts w:eastAsia="Times New Roman"/>
                <w:iCs/>
              </w:rPr>
              <w:t xml:space="preserve"> </w:t>
            </w:r>
            <w:r w:rsidRPr="00890289">
              <w:rPr>
                <w:rFonts w:eastAsia="Times New Roman"/>
                <w:iCs/>
              </w:rPr>
              <w:t>22</w:t>
            </w:r>
            <w:r w:rsidR="00655135" w:rsidRPr="00890289">
              <w:rPr>
                <w:rFonts w:eastAsia="Times New Roman"/>
                <w:iCs/>
              </w:rPr>
              <w:t>-й</w:t>
            </w:r>
            <w:r w:rsidRPr="00890289">
              <w:rPr>
                <w:rFonts w:eastAsia="Times New Roman"/>
                <w:iCs/>
              </w:rPr>
              <w:t xml:space="preserve"> каждые 5 нед</w:t>
            </w:r>
          </w:p>
        </w:tc>
      </w:tr>
      <w:tr w:rsidR="00FC3E67" w:rsidRPr="00890289" w:rsidTr="00E36DFA">
        <w:tc>
          <w:tcPr>
            <w:tcW w:w="1902" w:type="dxa"/>
            <w:tcBorders>
              <w:left w:val="single" w:sz="4" w:space="0" w:color="000000"/>
              <w:bottom w:val="single" w:sz="4" w:space="0" w:color="000000"/>
            </w:tcBorders>
            <w:shd w:val="clear" w:color="auto" w:fill="auto"/>
          </w:tcPr>
          <w:p w:rsidR="00FC3E67" w:rsidRPr="00890289" w:rsidRDefault="00FC3E67" w:rsidP="00131E36">
            <w:pPr>
              <w:snapToGrid w:val="0"/>
              <w:spacing w:before="0" w:after="0"/>
              <w:rPr>
                <w:rFonts w:eastAsia="Times New Roman"/>
              </w:rPr>
            </w:pPr>
            <w:r w:rsidRPr="00890289">
              <w:rPr>
                <w:rFonts w:eastAsia="Times New Roman"/>
              </w:rPr>
              <w:t>Л</w:t>
            </w:r>
            <w:r w:rsidRPr="00890289">
              <w:rPr>
                <w:rFonts w:eastAsia="Times New Roman"/>
                <w:lang w:val="en-US"/>
              </w:rPr>
              <w:t>еналидомид</w:t>
            </w:r>
            <w:r w:rsidR="007E7259" w:rsidRPr="00890289">
              <w:rPr>
                <w:rFonts w:eastAsia="Times New Roman"/>
              </w:rPr>
              <w:t xml:space="preserve">** </w:t>
            </w:r>
            <w:r w:rsidRPr="00890289">
              <w:rPr>
                <w:rFonts w:eastAsia="Times New Roman"/>
              </w:rPr>
              <w:t xml:space="preserve"> </w:t>
            </w:r>
            <w:r w:rsidRPr="00890289">
              <w:rPr>
                <w:rFonts w:eastAsia="Times New Roman"/>
              </w:rPr>
              <w:lastRenderedPageBreak/>
              <w:t>(с дексаметазоном</w:t>
            </w:r>
            <w:r w:rsidR="007E7259" w:rsidRPr="00890289">
              <w:rPr>
                <w:rFonts w:eastAsia="Times New Roman"/>
              </w:rPr>
              <w:t>**</w:t>
            </w:r>
            <w:r w:rsidRPr="00890289">
              <w:rPr>
                <w:rFonts w:eastAsia="Times New Roman"/>
              </w:rPr>
              <w:t>)</w:t>
            </w:r>
          </w:p>
        </w:tc>
        <w:tc>
          <w:tcPr>
            <w:tcW w:w="2186" w:type="dxa"/>
            <w:tcBorders>
              <w:left w:val="single" w:sz="4" w:space="0" w:color="000000"/>
              <w:bottom w:val="single" w:sz="4" w:space="0" w:color="000000"/>
            </w:tcBorders>
            <w:shd w:val="clear" w:color="auto" w:fill="auto"/>
          </w:tcPr>
          <w:p w:rsidR="00FC3E67" w:rsidRPr="00890289" w:rsidRDefault="00FC3E67" w:rsidP="00131E36">
            <w:pPr>
              <w:snapToGrid w:val="0"/>
              <w:spacing w:before="0" w:after="0"/>
              <w:jc w:val="left"/>
              <w:rPr>
                <w:rFonts w:eastAsia="Times New Roman"/>
              </w:rPr>
            </w:pPr>
            <w:r w:rsidRPr="00890289">
              <w:rPr>
                <w:rFonts w:eastAsia="Times New Roman"/>
              </w:rPr>
              <w:lastRenderedPageBreak/>
              <w:t>25 мг</w:t>
            </w:r>
            <w:r w:rsidR="0094530A" w:rsidRPr="00890289">
              <w:rPr>
                <w:rFonts w:eastAsia="Times New Roman"/>
              </w:rPr>
              <w:t xml:space="preserve"> в день</w:t>
            </w:r>
          </w:p>
          <w:p w:rsidR="00FC3E67" w:rsidRPr="00890289" w:rsidRDefault="00FC3E67" w:rsidP="00131E36">
            <w:pPr>
              <w:spacing w:before="0" w:after="0"/>
              <w:jc w:val="left"/>
              <w:rPr>
                <w:rFonts w:eastAsia="Times New Roman"/>
              </w:rPr>
            </w:pPr>
            <w:r w:rsidRPr="00890289">
              <w:rPr>
                <w:rFonts w:eastAsia="Times New Roman"/>
              </w:rPr>
              <w:lastRenderedPageBreak/>
              <w:t>дни: 1</w:t>
            </w:r>
            <w:r w:rsidR="00655135" w:rsidRPr="00890289">
              <w:rPr>
                <w:rFonts w:eastAsia="Times New Roman"/>
              </w:rPr>
              <w:t>−</w:t>
            </w:r>
            <w:r w:rsidRPr="00890289">
              <w:rPr>
                <w:rFonts w:eastAsia="Times New Roman"/>
              </w:rPr>
              <w:t>21</w:t>
            </w:r>
            <w:r w:rsidR="00655135" w:rsidRPr="00890289">
              <w:rPr>
                <w:rFonts w:eastAsia="Times New Roman"/>
              </w:rPr>
              <w:t>-й</w:t>
            </w:r>
            <w:r w:rsidRPr="00890289">
              <w:rPr>
                <w:rFonts w:eastAsia="Times New Roman"/>
              </w:rPr>
              <w:t xml:space="preserve"> </w:t>
            </w:r>
          </w:p>
          <w:p w:rsidR="00FC3E67" w:rsidRPr="00890289" w:rsidRDefault="00FC3E67" w:rsidP="00655135">
            <w:pPr>
              <w:spacing w:before="0" w:after="0"/>
              <w:jc w:val="left"/>
              <w:rPr>
                <w:rFonts w:eastAsia="Times New Roman"/>
              </w:rPr>
            </w:pPr>
            <w:r w:rsidRPr="00890289">
              <w:rPr>
                <w:rFonts w:eastAsia="Times New Roman"/>
              </w:rPr>
              <w:t>каждые 4 нед</w:t>
            </w:r>
          </w:p>
        </w:tc>
        <w:tc>
          <w:tcPr>
            <w:tcW w:w="2186" w:type="dxa"/>
            <w:tcBorders>
              <w:left w:val="single" w:sz="4" w:space="0" w:color="000000"/>
              <w:bottom w:val="single" w:sz="4" w:space="0" w:color="000000"/>
            </w:tcBorders>
            <w:shd w:val="clear" w:color="auto" w:fill="auto"/>
          </w:tcPr>
          <w:p w:rsidR="00FC3E67" w:rsidRPr="00890289" w:rsidRDefault="00FC3E67" w:rsidP="00131E36">
            <w:pPr>
              <w:snapToGrid w:val="0"/>
              <w:spacing w:before="0" w:after="0"/>
              <w:jc w:val="left"/>
              <w:rPr>
                <w:rFonts w:eastAsia="Times New Roman"/>
              </w:rPr>
            </w:pPr>
            <w:r w:rsidRPr="00890289">
              <w:rPr>
                <w:rFonts w:eastAsia="Times New Roman"/>
              </w:rPr>
              <w:lastRenderedPageBreak/>
              <w:t>15 мг</w:t>
            </w:r>
            <w:r w:rsidR="0094530A" w:rsidRPr="00890289">
              <w:rPr>
                <w:rFonts w:eastAsia="Times New Roman"/>
              </w:rPr>
              <w:t xml:space="preserve"> в день</w:t>
            </w:r>
          </w:p>
          <w:p w:rsidR="00FC3E67" w:rsidRPr="00890289" w:rsidRDefault="00FC3E67" w:rsidP="00131E36">
            <w:pPr>
              <w:spacing w:before="0" w:after="0"/>
              <w:jc w:val="left"/>
              <w:rPr>
                <w:rFonts w:eastAsia="Times New Roman"/>
              </w:rPr>
            </w:pPr>
            <w:r w:rsidRPr="00890289">
              <w:rPr>
                <w:rFonts w:eastAsia="Times New Roman"/>
              </w:rPr>
              <w:lastRenderedPageBreak/>
              <w:t>дни: 1</w:t>
            </w:r>
            <w:r w:rsidR="00655135" w:rsidRPr="00890289">
              <w:rPr>
                <w:rFonts w:eastAsia="Times New Roman"/>
              </w:rPr>
              <w:t>−</w:t>
            </w:r>
            <w:r w:rsidRPr="00890289">
              <w:rPr>
                <w:rFonts w:eastAsia="Times New Roman"/>
              </w:rPr>
              <w:t>21</w:t>
            </w:r>
            <w:r w:rsidR="00655135" w:rsidRPr="00890289">
              <w:rPr>
                <w:rFonts w:eastAsia="Times New Roman"/>
              </w:rPr>
              <w:t>-й</w:t>
            </w:r>
            <w:r w:rsidRPr="00890289">
              <w:rPr>
                <w:rFonts w:eastAsia="Times New Roman"/>
              </w:rPr>
              <w:t xml:space="preserve"> </w:t>
            </w:r>
          </w:p>
          <w:p w:rsidR="00FC3E67" w:rsidRPr="00890289" w:rsidRDefault="00FC3E67" w:rsidP="00655135">
            <w:pPr>
              <w:spacing w:before="0" w:after="0"/>
              <w:jc w:val="left"/>
              <w:rPr>
                <w:rFonts w:eastAsia="Times New Roman"/>
              </w:rPr>
            </w:pPr>
            <w:r w:rsidRPr="00890289">
              <w:rPr>
                <w:rFonts w:eastAsia="Times New Roman"/>
              </w:rPr>
              <w:t>каждые 4 нед</w:t>
            </w:r>
          </w:p>
        </w:tc>
        <w:tc>
          <w:tcPr>
            <w:tcW w:w="2326" w:type="dxa"/>
            <w:tcBorders>
              <w:left w:val="single" w:sz="4" w:space="0" w:color="000000"/>
              <w:bottom w:val="single" w:sz="4" w:space="0" w:color="000000"/>
              <w:right w:val="single" w:sz="4" w:space="0" w:color="000000"/>
            </w:tcBorders>
            <w:shd w:val="clear" w:color="auto" w:fill="auto"/>
          </w:tcPr>
          <w:p w:rsidR="00FC3E67" w:rsidRPr="00890289" w:rsidRDefault="00FC3E67" w:rsidP="00131E36">
            <w:pPr>
              <w:snapToGrid w:val="0"/>
              <w:spacing w:before="0" w:after="0"/>
              <w:jc w:val="left"/>
              <w:rPr>
                <w:rFonts w:eastAsia="Times New Roman"/>
              </w:rPr>
            </w:pPr>
            <w:r w:rsidRPr="00890289">
              <w:rPr>
                <w:rFonts w:eastAsia="Times New Roman"/>
              </w:rPr>
              <w:lastRenderedPageBreak/>
              <w:t>10 мг</w:t>
            </w:r>
            <w:r w:rsidR="0094530A" w:rsidRPr="00890289">
              <w:rPr>
                <w:rFonts w:eastAsia="Times New Roman"/>
              </w:rPr>
              <w:t xml:space="preserve"> в день</w:t>
            </w:r>
          </w:p>
          <w:p w:rsidR="00FC3E67" w:rsidRPr="00890289" w:rsidRDefault="00FC3E67" w:rsidP="00131E36">
            <w:pPr>
              <w:spacing w:before="0" w:after="0"/>
              <w:jc w:val="left"/>
              <w:rPr>
                <w:rFonts w:eastAsia="Times New Roman"/>
              </w:rPr>
            </w:pPr>
            <w:r w:rsidRPr="00890289">
              <w:rPr>
                <w:rFonts w:eastAsia="Times New Roman"/>
              </w:rPr>
              <w:lastRenderedPageBreak/>
              <w:t>дни: 1</w:t>
            </w:r>
            <w:r w:rsidR="00655135" w:rsidRPr="00890289">
              <w:rPr>
                <w:rFonts w:eastAsia="Times New Roman"/>
              </w:rPr>
              <w:t>−21-й</w:t>
            </w:r>
          </w:p>
          <w:p w:rsidR="00FC3E67" w:rsidRPr="00890289" w:rsidRDefault="00FC3E67" w:rsidP="00655135">
            <w:pPr>
              <w:spacing w:before="0" w:after="0"/>
              <w:jc w:val="left"/>
              <w:rPr>
                <w:rFonts w:eastAsia="Times New Roman"/>
              </w:rPr>
            </w:pPr>
            <w:r w:rsidRPr="00890289">
              <w:rPr>
                <w:rFonts w:eastAsia="Times New Roman"/>
              </w:rPr>
              <w:t>каждые 4 нед</w:t>
            </w:r>
          </w:p>
        </w:tc>
      </w:tr>
      <w:tr w:rsidR="00FC3E67" w:rsidRPr="00890289" w:rsidTr="00E36DFA">
        <w:tc>
          <w:tcPr>
            <w:tcW w:w="1902" w:type="dxa"/>
            <w:tcBorders>
              <w:top w:val="single" w:sz="4" w:space="0" w:color="000000"/>
              <w:left w:val="single" w:sz="4" w:space="0" w:color="000000"/>
              <w:bottom w:val="single" w:sz="4" w:space="0" w:color="000000"/>
            </w:tcBorders>
            <w:shd w:val="clear" w:color="auto" w:fill="auto"/>
          </w:tcPr>
          <w:p w:rsidR="00FC3E67" w:rsidRPr="00890289" w:rsidRDefault="00FC3E67" w:rsidP="00131E36">
            <w:pPr>
              <w:snapToGrid w:val="0"/>
              <w:spacing w:before="0" w:after="0"/>
              <w:rPr>
                <w:rFonts w:eastAsia="Times New Roman"/>
              </w:rPr>
            </w:pPr>
            <w:r w:rsidRPr="00890289">
              <w:rPr>
                <w:rFonts w:eastAsia="Times New Roman"/>
                <w:lang w:val="en-US"/>
              </w:rPr>
              <w:lastRenderedPageBreak/>
              <w:t>Дексаметазон</w:t>
            </w:r>
            <w:r w:rsidR="007E7259" w:rsidRPr="00890289">
              <w:rPr>
                <w:rFonts w:eastAsia="Times New Roman"/>
              </w:rPr>
              <w:t>**</w:t>
            </w:r>
          </w:p>
        </w:tc>
        <w:tc>
          <w:tcPr>
            <w:tcW w:w="2186" w:type="dxa"/>
            <w:tcBorders>
              <w:top w:val="single" w:sz="4" w:space="0" w:color="000000"/>
              <w:left w:val="single" w:sz="4" w:space="0" w:color="000000"/>
              <w:bottom w:val="single" w:sz="4" w:space="0" w:color="000000"/>
            </w:tcBorders>
            <w:shd w:val="clear" w:color="auto" w:fill="auto"/>
          </w:tcPr>
          <w:p w:rsidR="00FC3E67" w:rsidRPr="00890289" w:rsidRDefault="00FC3E67" w:rsidP="00131E36">
            <w:pPr>
              <w:snapToGrid w:val="0"/>
              <w:spacing w:before="0" w:after="0"/>
              <w:jc w:val="left"/>
              <w:rPr>
                <w:rFonts w:eastAsia="Times New Roman"/>
              </w:rPr>
            </w:pPr>
            <w:r w:rsidRPr="00890289">
              <w:rPr>
                <w:rFonts w:eastAsia="Times New Roman"/>
              </w:rPr>
              <w:t>40 мг</w:t>
            </w:r>
            <w:r w:rsidR="0094530A" w:rsidRPr="00890289">
              <w:rPr>
                <w:rFonts w:eastAsia="Times New Roman"/>
              </w:rPr>
              <w:t xml:space="preserve"> в день</w:t>
            </w:r>
          </w:p>
          <w:p w:rsidR="00FC3E67" w:rsidRPr="00890289" w:rsidRDefault="00FC3E67" w:rsidP="00655135">
            <w:pPr>
              <w:spacing w:before="0" w:after="0"/>
              <w:jc w:val="left"/>
              <w:rPr>
                <w:rFonts w:eastAsia="Times New Roman"/>
              </w:rPr>
            </w:pPr>
            <w:r w:rsidRPr="00890289">
              <w:rPr>
                <w:rFonts w:eastAsia="Times New Roman"/>
              </w:rPr>
              <w:t>дни: 1,</w:t>
            </w:r>
            <w:r w:rsidR="00655135" w:rsidRPr="00890289">
              <w:rPr>
                <w:rFonts w:eastAsia="Times New Roman"/>
              </w:rPr>
              <w:t xml:space="preserve"> </w:t>
            </w:r>
            <w:r w:rsidRPr="00890289">
              <w:rPr>
                <w:rFonts w:eastAsia="Times New Roman"/>
              </w:rPr>
              <w:t>8,</w:t>
            </w:r>
            <w:r w:rsidR="00655135" w:rsidRPr="00890289">
              <w:rPr>
                <w:rFonts w:eastAsia="Times New Roman"/>
              </w:rPr>
              <w:t xml:space="preserve"> </w:t>
            </w:r>
            <w:r w:rsidRPr="00890289">
              <w:rPr>
                <w:rFonts w:eastAsia="Times New Roman"/>
              </w:rPr>
              <w:t>15,</w:t>
            </w:r>
            <w:r w:rsidR="00655135" w:rsidRPr="00890289">
              <w:rPr>
                <w:rFonts w:eastAsia="Times New Roman"/>
              </w:rPr>
              <w:t xml:space="preserve"> </w:t>
            </w:r>
            <w:r w:rsidRPr="00890289">
              <w:rPr>
                <w:rFonts w:eastAsia="Times New Roman"/>
              </w:rPr>
              <w:t>22</w:t>
            </w:r>
            <w:r w:rsidR="00655135" w:rsidRPr="00890289">
              <w:rPr>
                <w:rFonts w:eastAsia="Times New Roman"/>
              </w:rPr>
              <w:t>-й</w:t>
            </w:r>
            <w:r w:rsidRPr="00890289">
              <w:rPr>
                <w:rFonts w:eastAsia="Times New Roman"/>
              </w:rPr>
              <w:t xml:space="preserve"> каждые 4 нед </w:t>
            </w:r>
          </w:p>
        </w:tc>
        <w:tc>
          <w:tcPr>
            <w:tcW w:w="2186" w:type="dxa"/>
            <w:tcBorders>
              <w:top w:val="single" w:sz="4" w:space="0" w:color="000000"/>
              <w:left w:val="single" w:sz="4" w:space="0" w:color="000000"/>
              <w:bottom w:val="single" w:sz="4" w:space="0" w:color="000000"/>
            </w:tcBorders>
            <w:shd w:val="clear" w:color="auto" w:fill="auto"/>
          </w:tcPr>
          <w:p w:rsidR="00FC3E67" w:rsidRPr="00890289" w:rsidRDefault="00FC3E67" w:rsidP="00131E36">
            <w:pPr>
              <w:snapToGrid w:val="0"/>
              <w:spacing w:before="0" w:after="0"/>
              <w:jc w:val="left"/>
              <w:rPr>
                <w:rFonts w:eastAsia="Times New Roman"/>
              </w:rPr>
            </w:pPr>
            <w:r w:rsidRPr="00890289">
              <w:rPr>
                <w:rFonts w:eastAsia="Times New Roman"/>
              </w:rPr>
              <w:t>20 мг</w:t>
            </w:r>
            <w:r w:rsidR="0094530A" w:rsidRPr="00890289">
              <w:rPr>
                <w:rFonts w:eastAsia="Times New Roman"/>
              </w:rPr>
              <w:t xml:space="preserve"> в день</w:t>
            </w:r>
          </w:p>
          <w:p w:rsidR="00FC3E67" w:rsidRPr="00890289" w:rsidRDefault="00FC3E67" w:rsidP="00EC0B58">
            <w:pPr>
              <w:spacing w:before="0" w:after="0"/>
              <w:jc w:val="left"/>
              <w:rPr>
                <w:rFonts w:eastAsia="Times New Roman"/>
              </w:rPr>
            </w:pPr>
            <w:r w:rsidRPr="00890289">
              <w:rPr>
                <w:rFonts w:eastAsia="Times New Roman"/>
              </w:rPr>
              <w:t>дни: 1,</w:t>
            </w:r>
            <w:r w:rsidR="00EC0B58" w:rsidRPr="00890289">
              <w:rPr>
                <w:rFonts w:eastAsia="Times New Roman"/>
              </w:rPr>
              <w:t xml:space="preserve"> </w:t>
            </w:r>
            <w:r w:rsidRPr="00890289">
              <w:rPr>
                <w:rFonts w:eastAsia="Times New Roman"/>
              </w:rPr>
              <w:t>8,</w:t>
            </w:r>
            <w:r w:rsidR="00EC0B58" w:rsidRPr="00890289">
              <w:rPr>
                <w:rFonts w:eastAsia="Times New Roman"/>
              </w:rPr>
              <w:t xml:space="preserve"> </w:t>
            </w:r>
            <w:r w:rsidRPr="00890289">
              <w:rPr>
                <w:rFonts w:eastAsia="Times New Roman"/>
              </w:rPr>
              <w:t>15,</w:t>
            </w:r>
            <w:r w:rsidR="00EC0B58" w:rsidRPr="00890289">
              <w:rPr>
                <w:rFonts w:eastAsia="Times New Roman"/>
              </w:rPr>
              <w:t xml:space="preserve"> 22-й </w:t>
            </w:r>
            <w:r w:rsidRPr="00890289">
              <w:rPr>
                <w:rFonts w:eastAsia="Times New Roman"/>
              </w:rPr>
              <w:t>каждые 4 нед</w:t>
            </w:r>
          </w:p>
        </w:tc>
        <w:tc>
          <w:tcPr>
            <w:tcW w:w="2326" w:type="dxa"/>
            <w:tcBorders>
              <w:top w:val="single" w:sz="4" w:space="0" w:color="000000"/>
              <w:left w:val="single" w:sz="4" w:space="0" w:color="000000"/>
              <w:bottom w:val="single" w:sz="4" w:space="0" w:color="000000"/>
              <w:right w:val="single" w:sz="4" w:space="0" w:color="000000"/>
            </w:tcBorders>
            <w:shd w:val="clear" w:color="auto" w:fill="auto"/>
          </w:tcPr>
          <w:p w:rsidR="00FC3E67" w:rsidRPr="00890289" w:rsidRDefault="00FC3E67" w:rsidP="00131E36">
            <w:pPr>
              <w:snapToGrid w:val="0"/>
              <w:spacing w:before="0" w:after="0"/>
              <w:jc w:val="left"/>
              <w:rPr>
                <w:rFonts w:eastAsia="Times New Roman"/>
              </w:rPr>
            </w:pPr>
            <w:r w:rsidRPr="00890289">
              <w:rPr>
                <w:rFonts w:eastAsia="Times New Roman"/>
              </w:rPr>
              <w:t>10 мг</w:t>
            </w:r>
            <w:r w:rsidR="0094530A" w:rsidRPr="00890289">
              <w:rPr>
                <w:rFonts w:eastAsia="Times New Roman"/>
              </w:rPr>
              <w:t xml:space="preserve"> в день</w:t>
            </w:r>
          </w:p>
          <w:p w:rsidR="00FC3E67" w:rsidRPr="00890289" w:rsidRDefault="00FC3E67" w:rsidP="00EC0B58">
            <w:pPr>
              <w:spacing w:before="0" w:after="0"/>
              <w:jc w:val="left"/>
              <w:rPr>
                <w:rFonts w:eastAsia="Times New Roman"/>
              </w:rPr>
            </w:pPr>
            <w:r w:rsidRPr="00890289">
              <w:rPr>
                <w:rFonts w:eastAsia="Times New Roman"/>
              </w:rPr>
              <w:t>дни: 1,</w:t>
            </w:r>
            <w:r w:rsidR="00EC0B58" w:rsidRPr="00890289">
              <w:rPr>
                <w:rFonts w:eastAsia="Times New Roman"/>
              </w:rPr>
              <w:t xml:space="preserve"> </w:t>
            </w:r>
            <w:r w:rsidRPr="00890289">
              <w:rPr>
                <w:rFonts w:eastAsia="Times New Roman"/>
              </w:rPr>
              <w:t>8,</w:t>
            </w:r>
            <w:r w:rsidR="00EC0B58" w:rsidRPr="00890289">
              <w:rPr>
                <w:rFonts w:eastAsia="Times New Roman"/>
              </w:rPr>
              <w:t xml:space="preserve"> </w:t>
            </w:r>
            <w:r w:rsidRPr="00890289">
              <w:rPr>
                <w:rFonts w:eastAsia="Times New Roman"/>
              </w:rPr>
              <w:t>15,</w:t>
            </w:r>
            <w:r w:rsidR="00EC0B58" w:rsidRPr="00890289">
              <w:rPr>
                <w:rFonts w:eastAsia="Times New Roman"/>
              </w:rPr>
              <w:t xml:space="preserve"> </w:t>
            </w:r>
            <w:r w:rsidRPr="00890289">
              <w:rPr>
                <w:rFonts w:eastAsia="Times New Roman"/>
              </w:rPr>
              <w:t>22</w:t>
            </w:r>
            <w:r w:rsidR="00EC0B58" w:rsidRPr="00890289">
              <w:rPr>
                <w:rFonts w:eastAsia="Times New Roman"/>
              </w:rPr>
              <w:t>-й</w:t>
            </w:r>
            <w:r w:rsidRPr="00890289">
              <w:rPr>
                <w:rFonts w:eastAsia="Times New Roman"/>
              </w:rPr>
              <w:t xml:space="preserve"> каждые 4 нед</w:t>
            </w:r>
          </w:p>
        </w:tc>
      </w:tr>
      <w:tr w:rsidR="00FC3E67" w:rsidRPr="00890289" w:rsidTr="00E36DFA">
        <w:tc>
          <w:tcPr>
            <w:tcW w:w="1902" w:type="dxa"/>
            <w:tcBorders>
              <w:top w:val="single" w:sz="4" w:space="0" w:color="000000"/>
              <w:left w:val="single" w:sz="4" w:space="0" w:color="000000"/>
              <w:bottom w:val="single" w:sz="4" w:space="0" w:color="000000"/>
            </w:tcBorders>
            <w:shd w:val="clear" w:color="auto" w:fill="auto"/>
          </w:tcPr>
          <w:p w:rsidR="00FC3E67" w:rsidRPr="00890289" w:rsidRDefault="00FC3E67" w:rsidP="00131E36">
            <w:pPr>
              <w:snapToGrid w:val="0"/>
              <w:spacing w:before="0" w:after="0"/>
              <w:rPr>
                <w:rFonts w:eastAsia="Times New Roman"/>
                <w:iCs/>
              </w:rPr>
            </w:pPr>
            <w:r w:rsidRPr="00890289">
              <w:rPr>
                <w:rFonts w:eastAsia="Times New Roman"/>
                <w:lang w:val="en-US"/>
              </w:rPr>
              <w:t>Мелфалан</w:t>
            </w:r>
            <w:r w:rsidR="007E7259" w:rsidRPr="00890289">
              <w:rPr>
                <w:rFonts w:eastAsia="Times New Roman"/>
              </w:rPr>
              <w:t>**</w:t>
            </w:r>
          </w:p>
        </w:tc>
        <w:tc>
          <w:tcPr>
            <w:tcW w:w="2186" w:type="dxa"/>
            <w:tcBorders>
              <w:top w:val="single" w:sz="4" w:space="0" w:color="000000"/>
              <w:left w:val="single" w:sz="4" w:space="0" w:color="000000"/>
              <w:bottom w:val="single" w:sz="4" w:space="0" w:color="000000"/>
            </w:tcBorders>
            <w:shd w:val="clear" w:color="auto" w:fill="auto"/>
          </w:tcPr>
          <w:p w:rsidR="00FC3E67" w:rsidRPr="00890289" w:rsidRDefault="00FC3E67" w:rsidP="00131E36">
            <w:pPr>
              <w:shd w:val="clear" w:color="auto" w:fill="FFFFFF"/>
              <w:snapToGrid w:val="0"/>
              <w:spacing w:before="0" w:after="0"/>
              <w:jc w:val="left"/>
              <w:rPr>
                <w:rFonts w:eastAsia="Times New Roman"/>
                <w:iCs/>
              </w:rPr>
            </w:pPr>
            <w:r w:rsidRPr="00890289">
              <w:rPr>
                <w:rFonts w:eastAsia="Times New Roman"/>
                <w:iCs/>
              </w:rPr>
              <w:t xml:space="preserve"> 0,25 мг/кг или 9 мг/м</w:t>
            </w:r>
            <w:r w:rsidRPr="00890289">
              <w:rPr>
                <w:rFonts w:eastAsia="Times New Roman"/>
                <w:iCs/>
                <w:vertAlign w:val="superscript"/>
              </w:rPr>
              <w:t>2</w:t>
            </w:r>
          </w:p>
          <w:p w:rsidR="00FC3E67" w:rsidRPr="00890289" w:rsidRDefault="00FC3E67" w:rsidP="00131E36">
            <w:pPr>
              <w:shd w:val="clear" w:color="auto" w:fill="FFFFFF"/>
              <w:snapToGrid w:val="0"/>
              <w:spacing w:before="0" w:after="0"/>
              <w:jc w:val="left"/>
              <w:rPr>
                <w:rFonts w:eastAsia="Times New Roman"/>
                <w:iCs/>
              </w:rPr>
            </w:pPr>
            <w:r w:rsidRPr="00890289">
              <w:rPr>
                <w:rFonts w:eastAsia="Times New Roman"/>
                <w:iCs/>
              </w:rPr>
              <w:t>дни: 1</w:t>
            </w:r>
            <w:r w:rsidR="00EC0B58" w:rsidRPr="00890289">
              <w:rPr>
                <w:rFonts w:eastAsia="Times New Roman"/>
                <w:iCs/>
              </w:rPr>
              <w:t>−</w:t>
            </w:r>
            <w:r w:rsidRPr="00890289">
              <w:rPr>
                <w:rFonts w:eastAsia="Times New Roman"/>
                <w:iCs/>
              </w:rPr>
              <w:t>4</w:t>
            </w:r>
            <w:r w:rsidR="00EC0B58" w:rsidRPr="00890289">
              <w:rPr>
                <w:rFonts w:eastAsia="Times New Roman"/>
                <w:iCs/>
              </w:rPr>
              <w:t>-й</w:t>
            </w:r>
            <w:r w:rsidRPr="00890289">
              <w:rPr>
                <w:rFonts w:eastAsia="Times New Roman"/>
                <w:iCs/>
              </w:rPr>
              <w:t xml:space="preserve"> </w:t>
            </w:r>
          </w:p>
          <w:p w:rsidR="00FC3E67" w:rsidRPr="00890289" w:rsidRDefault="00FC3E67" w:rsidP="00EC0B58">
            <w:pPr>
              <w:shd w:val="clear" w:color="auto" w:fill="FFFFFF"/>
              <w:snapToGrid w:val="0"/>
              <w:spacing w:before="0" w:after="0"/>
              <w:jc w:val="left"/>
              <w:rPr>
                <w:rFonts w:eastAsia="Times New Roman"/>
              </w:rPr>
            </w:pPr>
            <w:r w:rsidRPr="00890289">
              <w:rPr>
                <w:rFonts w:eastAsia="Times New Roman"/>
                <w:iCs/>
              </w:rPr>
              <w:t>каждые 4</w:t>
            </w:r>
            <w:r w:rsidR="00EC0B58" w:rsidRPr="00890289">
              <w:rPr>
                <w:rFonts w:eastAsia="Times New Roman"/>
                <w:iCs/>
              </w:rPr>
              <w:t>−</w:t>
            </w:r>
            <w:r w:rsidRPr="00890289">
              <w:rPr>
                <w:rFonts w:eastAsia="Times New Roman"/>
                <w:iCs/>
              </w:rPr>
              <w:t>6 нед</w:t>
            </w:r>
          </w:p>
        </w:tc>
        <w:tc>
          <w:tcPr>
            <w:tcW w:w="2186" w:type="dxa"/>
            <w:tcBorders>
              <w:top w:val="single" w:sz="4" w:space="0" w:color="000000"/>
              <w:left w:val="single" w:sz="4" w:space="0" w:color="000000"/>
              <w:bottom w:val="single" w:sz="4" w:space="0" w:color="000000"/>
            </w:tcBorders>
            <w:shd w:val="clear" w:color="auto" w:fill="auto"/>
          </w:tcPr>
          <w:p w:rsidR="00FC3E67" w:rsidRPr="00890289" w:rsidRDefault="00FC3E67" w:rsidP="00131E36">
            <w:pPr>
              <w:snapToGrid w:val="0"/>
              <w:spacing w:before="0" w:after="0"/>
              <w:jc w:val="left"/>
              <w:rPr>
                <w:rFonts w:eastAsia="Times New Roman"/>
              </w:rPr>
            </w:pPr>
            <w:r w:rsidRPr="00890289">
              <w:rPr>
                <w:rFonts w:eastAsia="Times New Roman"/>
              </w:rPr>
              <w:t>0,18 мг/кг или 7,5 мг/м</w:t>
            </w:r>
            <w:r w:rsidRPr="00890289">
              <w:rPr>
                <w:rFonts w:eastAsia="Times New Roman"/>
                <w:vertAlign w:val="superscript"/>
              </w:rPr>
              <w:t xml:space="preserve">2 </w:t>
            </w:r>
          </w:p>
          <w:p w:rsidR="00FC3E67" w:rsidRPr="00890289" w:rsidRDefault="00FC3E67" w:rsidP="00131E36">
            <w:pPr>
              <w:spacing w:before="0" w:after="0"/>
              <w:jc w:val="left"/>
              <w:rPr>
                <w:rFonts w:eastAsia="Times New Roman"/>
              </w:rPr>
            </w:pPr>
            <w:r w:rsidRPr="00890289">
              <w:rPr>
                <w:rFonts w:eastAsia="Times New Roman"/>
              </w:rPr>
              <w:t>дни: 1</w:t>
            </w:r>
            <w:r w:rsidR="00EC0B58" w:rsidRPr="00890289">
              <w:rPr>
                <w:rFonts w:eastAsia="Times New Roman"/>
              </w:rPr>
              <w:t>−</w:t>
            </w:r>
            <w:r w:rsidRPr="00890289">
              <w:rPr>
                <w:rFonts w:eastAsia="Times New Roman"/>
              </w:rPr>
              <w:t>4</w:t>
            </w:r>
            <w:r w:rsidR="00EC0B58" w:rsidRPr="00890289">
              <w:rPr>
                <w:rFonts w:eastAsia="Times New Roman"/>
              </w:rPr>
              <w:t>-й</w:t>
            </w:r>
            <w:r w:rsidRPr="00890289">
              <w:rPr>
                <w:rFonts w:eastAsia="Times New Roman"/>
              </w:rPr>
              <w:t xml:space="preserve"> </w:t>
            </w:r>
          </w:p>
          <w:p w:rsidR="00FC3E67" w:rsidRPr="00890289" w:rsidRDefault="00FC3E67" w:rsidP="00EC0B58">
            <w:pPr>
              <w:spacing w:before="0" w:after="0"/>
              <w:jc w:val="left"/>
              <w:rPr>
                <w:rFonts w:eastAsia="Times New Roman"/>
              </w:rPr>
            </w:pPr>
            <w:r w:rsidRPr="00890289">
              <w:rPr>
                <w:rFonts w:eastAsia="Times New Roman"/>
              </w:rPr>
              <w:t>каждые 4</w:t>
            </w:r>
            <w:r w:rsidR="00EC0B58" w:rsidRPr="00890289">
              <w:rPr>
                <w:rFonts w:eastAsia="Times New Roman"/>
              </w:rPr>
              <w:t>−</w:t>
            </w:r>
            <w:r w:rsidRPr="00890289">
              <w:rPr>
                <w:rFonts w:eastAsia="Times New Roman"/>
              </w:rPr>
              <w:t>6 нед</w:t>
            </w:r>
          </w:p>
        </w:tc>
        <w:tc>
          <w:tcPr>
            <w:tcW w:w="2326" w:type="dxa"/>
            <w:tcBorders>
              <w:top w:val="single" w:sz="4" w:space="0" w:color="000000"/>
              <w:left w:val="single" w:sz="4" w:space="0" w:color="000000"/>
              <w:bottom w:val="single" w:sz="4" w:space="0" w:color="000000"/>
              <w:right w:val="single" w:sz="4" w:space="0" w:color="000000"/>
            </w:tcBorders>
            <w:shd w:val="clear" w:color="auto" w:fill="auto"/>
          </w:tcPr>
          <w:p w:rsidR="00FC3E67" w:rsidRPr="00890289" w:rsidRDefault="00FC3E67" w:rsidP="00131E36">
            <w:pPr>
              <w:snapToGrid w:val="0"/>
              <w:spacing w:before="0" w:after="0"/>
              <w:jc w:val="left"/>
              <w:rPr>
                <w:rFonts w:eastAsia="Times New Roman"/>
              </w:rPr>
            </w:pPr>
            <w:r w:rsidRPr="00890289">
              <w:rPr>
                <w:rFonts w:eastAsia="Times New Roman"/>
              </w:rPr>
              <w:t>0,13 мг/кг или 5 мг/м</w:t>
            </w:r>
            <w:r w:rsidRPr="00890289">
              <w:rPr>
                <w:rFonts w:eastAsia="Times New Roman"/>
                <w:vertAlign w:val="superscript"/>
              </w:rPr>
              <w:t xml:space="preserve">2 </w:t>
            </w:r>
          </w:p>
          <w:p w:rsidR="00FC3E67" w:rsidRPr="00890289" w:rsidRDefault="00FC3E67" w:rsidP="00131E36">
            <w:pPr>
              <w:spacing w:before="0" w:after="0"/>
              <w:jc w:val="left"/>
              <w:rPr>
                <w:rFonts w:eastAsia="Times New Roman"/>
              </w:rPr>
            </w:pPr>
            <w:r w:rsidRPr="00890289">
              <w:rPr>
                <w:rFonts w:eastAsia="Times New Roman"/>
              </w:rPr>
              <w:t>дни: 1</w:t>
            </w:r>
            <w:r w:rsidR="00EC0B58" w:rsidRPr="00890289">
              <w:rPr>
                <w:rFonts w:eastAsia="Times New Roman"/>
              </w:rPr>
              <w:t>−</w:t>
            </w:r>
            <w:r w:rsidRPr="00890289">
              <w:rPr>
                <w:rFonts w:eastAsia="Times New Roman"/>
              </w:rPr>
              <w:t>4</w:t>
            </w:r>
            <w:r w:rsidR="00EC0B58" w:rsidRPr="00890289">
              <w:rPr>
                <w:rFonts w:eastAsia="Times New Roman"/>
              </w:rPr>
              <w:t>-й</w:t>
            </w:r>
            <w:r w:rsidRPr="00890289">
              <w:rPr>
                <w:rFonts w:eastAsia="Times New Roman"/>
              </w:rPr>
              <w:t xml:space="preserve"> </w:t>
            </w:r>
          </w:p>
          <w:p w:rsidR="00FC3E67" w:rsidRPr="00890289" w:rsidRDefault="00FC3E67" w:rsidP="00EC0B58">
            <w:pPr>
              <w:spacing w:before="0" w:after="0"/>
              <w:jc w:val="left"/>
              <w:rPr>
                <w:rFonts w:eastAsia="Times New Roman"/>
                <w:lang w:val="en-US"/>
              </w:rPr>
            </w:pPr>
            <w:r w:rsidRPr="00890289">
              <w:rPr>
                <w:rFonts w:eastAsia="Times New Roman"/>
              </w:rPr>
              <w:t>каждые 4</w:t>
            </w:r>
            <w:r w:rsidR="00EC0B58" w:rsidRPr="00890289">
              <w:rPr>
                <w:rFonts w:eastAsia="Times New Roman"/>
              </w:rPr>
              <w:t>−</w:t>
            </w:r>
            <w:r w:rsidRPr="00890289">
              <w:rPr>
                <w:rFonts w:eastAsia="Times New Roman"/>
              </w:rPr>
              <w:t>6 нед</w:t>
            </w:r>
          </w:p>
        </w:tc>
      </w:tr>
      <w:tr w:rsidR="00FC3E67" w:rsidRPr="00890289" w:rsidTr="00E36DFA">
        <w:tc>
          <w:tcPr>
            <w:tcW w:w="1902" w:type="dxa"/>
            <w:tcBorders>
              <w:top w:val="single" w:sz="4" w:space="0" w:color="000000"/>
              <w:left w:val="single" w:sz="4" w:space="0" w:color="000000"/>
              <w:bottom w:val="single" w:sz="4" w:space="0" w:color="000000"/>
            </w:tcBorders>
            <w:shd w:val="clear" w:color="auto" w:fill="auto"/>
          </w:tcPr>
          <w:p w:rsidR="00FC3E67" w:rsidRPr="00890289" w:rsidRDefault="00FC3E67" w:rsidP="00131E36">
            <w:pPr>
              <w:snapToGrid w:val="0"/>
              <w:spacing w:before="0" w:after="0"/>
              <w:rPr>
                <w:rFonts w:eastAsia="Times New Roman"/>
              </w:rPr>
            </w:pPr>
            <w:r w:rsidRPr="00890289">
              <w:rPr>
                <w:rFonts w:eastAsia="Times New Roman"/>
                <w:lang w:val="en-US"/>
              </w:rPr>
              <w:t>Преднизолон</w:t>
            </w:r>
            <w:r w:rsidR="007E7259" w:rsidRPr="00890289">
              <w:rPr>
                <w:rFonts w:eastAsia="Times New Roman"/>
              </w:rPr>
              <w:t>**</w:t>
            </w:r>
          </w:p>
        </w:tc>
        <w:tc>
          <w:tcPr>
            <w:tcW w:w="2186" w:type="dxa"/>
            <w:tcBorders>
              <w:top w:val="single" w:sz="4" w:space="0" w:color="000000"/>
              <w:left w:val="single" w:sz="4" w:space="0" w:color="000000"/>
              <w:bottom w:val="single" w:sz="4" w:space="0" w:color="000000"/>
            </w:tcBorders>
            <w:shd w:val="clear" w:color="auto" w:fill="auto"/>
          </w:tcPr>
          <w:p w:rsidR="00FC3E67" w:rsidRPr="00890289" w:rsidRDefault="00FC3E67" w:rsidP="00EC0B58">
            <w:pPr>
              <w:snapToGrid w:val="0"/>
              <w:spacing w:before="0" w:after="0"/>
              <w:jc w:val="left"/>
              <w:rPr>
                <w:rFonts w:eastAsia="Times New Roman"/>
              </w:rPr>
            </w:pPr>
            <w:r w:rsidRPr="00890289">
              <w:rPr>
                <w:rFonts w:eastAsia="Times New Roman"/>
              </w:rPr>
              <w:t>6</w:t>
            </w:r>
            <w:r w:rsidRPr="00890289">
              <w:rPr>
                <w:rFonts w:eastAsia="Times New Roman"/>
                <w:lang w:val="en-US"/>
              </w:rPr>
              <w:t>0 мг/</w:t>
            </w:r>
            <w:r w:rsidRPr="00890289">
              <w:rPr>
                <w:rFonts w:eastAsia="Times New Roman"/>
              </w:rPr>
              <w:t>м</w:t>
            </w:r>
            <w:r w:rsidRPr="00890289">
              <w:rPr>
                <w:rFonts w:eastAsia="Times New Roman"/>
                <w:vertAlign w:val="superscript"/>
              </w:rPr>
              <w:t>2</w:t>
            </w:r>
            <w:r w:rsidRPr="00890289">
              <w:rPr>
                <w:rFonts w:eastAsia="Times New Roman"/>
              </w:rPr>
              <w:t xml:space="preserve"> 1</w:t>
            </w:r>
            <w:r w:rsidR="00EC0B58" w:rsidRPr="00890289">
              <w:rPr>
                <w:rFonts w:eastAsia="Times New Roman"/>
              </w:rPr>
              <w:t>−</w:t>
            </w:r>
            <w:r w:rsidRPr="00890289">
              <w:rPr>
                <w:rFonts w:eastAsia="Times New Roman"/>
              </w:rPr>
              <w:t>4</w:t>
            </w:r>
            <w:r w:rsidR="00EC0B58" w:rsidRPr="00890289">
              <w:rPr>
                <w:rFonts w:eastAsia="Times New Roman"/>
              </w:rPr>
              <w:t>-й</w:t>
            </w:r>
            <w:r w:rsidRPr="00890289">
              <w:rPr>
                <w:rFonts w:eastAsia="Times New Roman"/>
              </w:rPr>
              <w:t xml:space="preserve"> дни  </w:t>
            </w:r>
          </w:p>
        </w:tc>
        <w:tc>
          <w:tcPr>
            <w:tcW w:w="2186" w:type="dxa"/>
            <w:tcBorders>
              <w:top w:val="single" w:sz="4" w:space="0" w:color="000000"/>
              <w:left w:val="single" w:sz="4" w:space="0" w:color="000000"/>
              <w:bottom w:val="single" w:sz="4" w:space="0" w:color="000000"/>
            </w:tcBorders>
            <w:shd w:val="clear" w:color="auto" w:fill="auto"/>
          </w:tcPr>
          <w:p w:rsidR="00FC3E67" w:rsidRPr="00890289" w:rsidRDefault="00FC3E67" w:rsidP="00EC0B58">
            <w:pPr>
              <w:snapToGrid w:val="0"/>
              <w:spacing w:before="0" w:after="0"/>
              <w:jc w:val="left"/>
              <w:rPr>
                <w:rFonts w:eastAsia="Times New Roman"/>
              </w:rPr>
            </w:pPr>
            <w:r w:rsidRPr="00890289">
              <w:rPr>
                <w:rFonts w:eastAsia="Times New Roman"/>
              </w:rPr>
              <w:t>30 мг/м</w:t>
            </w:r>
            <w:r w:rsidRPr="00890289">
              <w:rPr>
                <w:rFonts w:eastAsia="Times New Roman"/>
                <w:vertAlign w:val="superscript"/>
              </w:rPr>
              <w:t>2</w:t>
            </w:r>
            <w:r w:rsidRPr="00890289">
              <w:rPr>
                <w:rFonts w:eastAsia="Times New Roman"/>
              </w:rPr>
              <w:t xml:space="preserve"> 1</w:t>
            </w:r>
            <w:r w:rsidR="00EC0B58" w:rsidRPr="00890289">
              <w:rPr>
                <w:rFonts w:eastAsia="Times New Roman"/>
              </w:rPr>
              <w:t>−</w:t>
            </w:r>
            <w:r w:rsidRPr="00890289">
              <w:rPr>
                <w:rFonts w:eastAsia="Times New Roman"/>
              </w:rPr>
              <w:t>4</w:t>
            </w:r>
            <w:r w:rsidR="00EC0B58" w:rsidRPr="00890289">
              <w:rPr>
                <w:rFonts w:eastAsia="Times New Roman"/>
              </w:rPr>
              <w:t>-й</w:t>
            </w:r>
            <w:r w:rsidRPr="00890289">
              <w:rPr>
                <w:rFonts w:eastAsia="Times New Roman"/>
              </w:rPr>
              <w:t xml:space="preserve"> </w:t>
            </w:r>
            <w:r w:rsidR="00EC0B58" w:rsidRPr="00890289">
              <w:rPr>
                <w:rFonts w:eastAsia="Times New Roman"/>
              </w:rPr>
              <w:t>дни</w:t>
            </w:r>
          </w:p>
        </w:tc>
        <w:tc>
          <w:tcPr>
            <w:tcW w:w="2326" w:type="dxa"/>
            <w:tcBorders>
              <w:top w:val="single" w:sz="4" w:space="0" w:color="000000"/>
              <w:left w:val="single" w:sz="4" w:space="0" w:color="000000"/>
              <w:bottom w:val="single" w:sz="4" w:space="0" w:color="000000"/>
              <w:right w:val="single" w:sz="4" w:space="0" w:color="000000"/>
            </w:tcBorders>
            <w:shd w:val="clear" w:color="auto" w:fill="auto"/>
          </w:tcPr>
          <w:p w:rsidR="00FC3E67" w:rsidRPr="00890289" w:rsidRDefault="00FC3E67" w:rsidP="00EC0B58">
            <w:pPr>
              <w:snapToGrid w:val="0"/>
              <w:spacing w:before="0" w:after="0"/>
              <w:jc w:val="left"/>
              <w:rPr>
                <w:rFonts w:eastAsia="Times New Roman"/>
                <w:lang w:val="en-US"/>
              </w:rPr>
            </w:pPr>
            <w:r w:rsidRPr="00890289">
              <w:rPr>
                <w:rFonts w:eastAsia="Times New Roman"/>
              </w:rPr>
              <w:t>15 мг/м</w:t>
            </w:r>
            <w:r w:rsidRPr="00890289">
              <w:rPr>
                <w:rFonts w:eastAsia="Times New Roman"/>
                <w:vertAlign w:val="superscript"/>
              </w:rPr>
              <w:t>2</w:t>
            </w:r>
            <w:r w:rsidRPr="00890289">
              <w:rPr>
                <w:rFonts w:eastAsia="Times New Roman"/>
              </w:rPr>
              <w:t xml:space="preserve"> 1</w:t>
            </w:r>
            <w:r w:rsidR="00EC0B58" w:rsidRPr="00890289">
              <w:rPr>
                <w:rFonts w:eastAsia="Times New Roman"/>
              </w:rPr>
              <w:t>−</w:t>
            </w:r>
            <w:r w:rsidRPr="00890289">
              <w:rPr>
                <w:rFonts w:eastAsia="Times New Roman"/>
              </w:rPr>
              <w:t>4</w:t>
            </w:r>
            <w:r w:rsidR="00EC0B58" w:rsidRPr="00890289">
              <w:rPr>
                <w:rFonts w:eastAsia="Times New Roman"/>
              </w:rPr>
              <w:t>-й</w:t>
            </w:r>
            <w:r w:rsidRPr="00890289">
              <w:rPr>
                <w:rFonts w:eastAsia="Times New Roman"/>
              </w:rPr>
              <w:t xml:space="preserve"> </w:t>
            </w:r>
            <w:r w:rsidR="00EC0B58" w:rsidRPr="00890289">
              <w:rPr>
                <w:rFonts w:eastAsia="Times New Roman"/>
              </w:rPr>
              <w:t>дни</w:t>
            </w:r>
          </w:p>
        </w:tc>
      </w:tr>
      <w:tr w:rsidR="00FC3E67" w:rsidRPr="00890289" w:rsidTr="00E36DFA">
        <w:tc>
          <w:tcPr>
            <w:tcW w:w="1902" w:type="dxa"/>
            <w:tcBorders>
              <w:top w:val="single" w:sz="4" w:space="0" w:color="000000"/>
              <w:left w:val="single" w:sz="4" w:space="0" w:color="000000"/>
              <w:bottom w:val="single" w:sz="4" w:space="0" w:color="000000"/>
            </w:tcBorders>
            <w:shd w:val="clear" w:color="auto" w:fill="auto"/>
          </w:tcPr>
          <w:p w:rsidR="00FC3E67" w:rsidRPr="00890289" w:rsidRDefault="00FC3E67" w:rsidP="00131E36">
            <w:pPr>
              <w:snapToGrid w:val="0"/>
              <w:spacing w:before="0" w:after="0"/>
              <w:rPr>
                <w:rFonts w:eastAsia="Times New Roman"/>
              </w:rPr>
            </w:pPr>
            <w:r w:rsidRPr="00890289">
              <w:rPr>
                <w:rFonts w:eastAsia="Times New Roman"/>
                <w:lang w:val="en-US"/>
              </w:rPr>
              <w:t>Циклофосфамид</w:t>
            </w:r>
            <w:r w:rsidR="007E7259" w:rsidRPr="00890289">
              <w:rPr>
                <w:rFonts w:eastAsia="Times New Roman"/>
              </w:rPr>
              <w:t>**</w:t>
            </w:r>
          </w:p>
        </w:tc>
        <w:tc>
          <w:tcPr>
            <w:tcW w:w="2186" w:type="dxa"/>
            <w:tcBorders>
              <w:top w:val="single" w:sz="4" w:space="0" w:color="000000"/>
              <w:left w:val="single" w:sz="4" w:space="0" w:color="000000"/>
              <w:bottom w:val="single" w:sz="4" w:space="0" w:color="000000"/>
            </w:tcBorders>
            <w:shd w:val="clear" w:color="auto" w:fill="auto"/>
          </w:tcPr>
          <w:p w:rsidR="00FC3E67" w:rsidRPr="00890289" w:rsidRDefault="00FC3E67" w:rsidP="00131E36">
            <w:pPr>
              <w:snapToGrid w:val="0"/>
              <w:spacing w:before="0" w:after="0"/>
              <w:jc w:val="left"/>
              <w:rPr>
                <w:rFonts w:eastAsia="Times New Roman"/>
              </w:rPr>
            </w:pPr>
            <w:r w:rsidRPr="00890289">
              <w:rPr>
                <w:rFonts w:eastAsia="Times New Roman"/>
              </w:rPr>
              <w:t>100 мг</w:t>
            </w:r>
            <w:r w:rsidR="0094530A" w:rsidRPr="00890289">
              <w:rPr>
                <w:rFonts w:eastAsia="Times New Roman"/>
              </w:rPr>
              <w:t xml:space="preserve"> в </w:t>
            </w:r>
            <w:r w:rsidRPr="00890289">
              <w:rPr>
                <w:rFonts w:eastAsia="Times New Roman"/>
              </w:rPr>
              <w:t xml:space="preserve">день </w:t>
            </w:r>
          </w:p>
          <w:p w:rsidR="00FC3E67" w:rsidRPr="00890289" w:rsidRDefault="00FC3E67" w:rsidP="00131E36">
            <w:pPr>
              <w:spacing w:before="0" w:after="0"/>
              <w:jc w:val="left"/>
              <w:rPr>
                <w:rFonts w:eastAsia="Times New Roman"/>
              </w:rPr>
            </w:pPr>
            <w:r w:rsidRPr="00890289">
              <w:rPr>
                <w:rFonts w:eastAsia="Times New Roman"/>
              </w:rPr>
              <w:t>дни: 1</w:t>
            </w:r>
            <w:r w:rsidR="00EC0B58" w:rsidRPr="00890289">
              <w:rPr>
                <w:rFonts w:eastAsia="Times New Roman"/>
              </w:rPr>
              <w:t>−</w:t>
            </w:r>
            <w:r w:rsidRPr="00890289">
              <w:rPr>
                <w:rFonts w:eastAsia="Times New Roman"/>
              </w:rPr>
              <w:t>21</w:t>
            </w:r>
            <w:r w:rsidR="00EC0B58" w:rsidRPr="00890289">
              <w:rPr>
                <w:rFonts w:eastAsia="Times New Roman"/>
              </w:rPr>
              <w:t>-й</w:t>
            </w:r>
            <w:r w:rsidRPr="00890289">
              <w:rPr>
                <w:rFonts w:eastAsia="Times New Roman"/>
              </w:rPr>
              <w:t xml:space="preserve"> </w:t>
            </w:r>
          </w:p>
          <w:p w:rsidR="00FC3E67" w:rsidRPr="00890289" w:rsidRDefault="00FC3E67" w:rsidP="0094530A">
            <w:pPr>
              <w:spacing w:before="0" w:after="0"/>
              <w:jc w:val="left"/>
              <w:rPr>
                <w:rFonts w:eastAsia="Times New Roman"/>
              </w:rPr>
            </w:pPr>
            <w:r w:rsidRPr="00890289">
              <w:rPr>
                <w:rFonts w:eastAsia="Times New Roman"/>
              </w:rPr>
              <w:t>каждые 4 нед</w:t>
            </w:r>
          </w:p>
        </w:tc>
        <w:tc>
          <w:tcPr>
            <w:tcW w:w="2186" w:type="dxa"/>
            <w:tcBorders>
              <w:top w:val="single" w:sz="4" w:space="0" w:color="000000"/>
              <w:left w:val="single" w:sz="4" w:space="0" w:color="000000"/>
              <w:bottom w:val="single" w:sz="4" w:space="0" w:color="000000"/>
            </w:tcBorders>
            <w:shd w:val="clear" w:color="auto" w:fill="auto"/>
          </w:tcPr>
          <w:p w:rsidR="00FC3E67" w:rsidRPr="00890289" w:rsidRDefault="00FC3E67" w:rsidP="00131E36">
            <w:pPr>
              <w:snapToGrid w:val="0"/>
              <w:spacing w:before="0" w:after="0"/>
              <w:jc w:val="left"/>
              <w:rPr>
                <w:rFonts w:eastAsia="Times New Roman"/>
              </w:rPr>
            </w:pPr>
            <w:r w:rsidRPr="00890289">
              <w:rPr>
                <w:rFonts w:eastAsia="Times New Roman"/>
              </w:rPr>
              <w:t>50 мг</w:t>
            </w:r>
            <w:r w:rsidR="0094530A" w:rsidRPr="00890289">
              <w:rPr>
                <w:rFonts w:eastAsia="Times New Roman"/>
              </w:rPr>
              <w:t xml:space="preserve"> в </w:t>
            </w:r>
            <w:r w:rsidRPr="00890289">
              <w:rPr>
                <w:rFonts w:eastAsia="Times New Roman"/>
              </w:rPr>
              <w:t xml:space="preserve">день </w:t>
            </w:r>
          </w:p>
          <w:p w:rsidR="00FC3E67" w:rsidRPr="00890289" w:rsidRDefault="00FC3E67" w:rsidP="00131E36">
            <w:pPr>
              <w:snapToGrid w:val="0"/>
              <w:spacing w:before="0" w:after="0"/>
              <w:jc w:val="left"/>
              <w:rPr>
                <w:rFonts w:eastAsia="Times New Roman"/>
              </w:rPr>
            </w:pPr>
            <w:r w:rsidRPr="00890289">
              <w:rPr>
                <w:rFonts w:eastAsia="Times New Roman"/>
              </w:rPr>
              <w:t>дни: 1</w:t>
            </w:r>
            <w:r w:rsidR="0094530A" w:rsidRPr="00890289">
              <w:rPr>
                <w:rFonts w:eastAsia="Times New Roman"/>
              </w:rPr>
              <w:t>−</w:t>
            </w:r>
            <w:r w:rsidRPr="00890289">
              <w:rPr>
                <w:rFonts w:eastAsia="Times New Roman"/>
              </w:rPr>
              <w:t>21</w:t>
            </w:r>
            <w:r w:rsidR="0094530A" w:rsidRPr="00890289">
              <w:rPr>
                <w:rFonts w:eastAsia="Times New Roman"/>
              </w:rPr>
              <w:t>-й</w:t>
            </w:r>
            <w:r w:rsidRPr="00890289">
              <w:rPr>
                <w:rFonts w:eastAsia="Times New Roman"/>
              </w:rPr>
              <w:t xml:space="preserve"> </w:t>
            </w:r>
          </w:p>
          <w:p w:rsidR="00FC3E67" w:rsidRPr="00890289" w:rsidRDefault="00FC3E67" w:rsidP="0094530A">
            <w:pPr>
              <w:snapToGrid w:val="0"/>
              <w:spacing w:before="0" w:after="0"/>
              <w:jc w:val="left"/>
              <w:rPr>
                <w:rFonts w:eastAsia="Times New Roman"/>
              </w:rPr>
            </w:pPr>
            <w:r w:rsidRPr="00890289">
              <w:rPr>
                <w:rFonts w:eastAsia="Times New Roman"/>
              </w:rPr>
              <w:t>каждые 4 нед</w:t>
            </w:r>
          </w:p>
        </w:tc>
        <w:tc>
          <w:tcPr>
            <w:tcW w:w="2326" w:type="dxa"/>
            <w:tcBorders>
              <w:top w:val="single" w:sz="4" w:space="0" w:color="000000"/>
              <w:left w:val="single" w:sz="4" w:space="0" w:color="000000"/>
              <w:bottom w:val="single" w:sz="4" w:space="0" w:color="000000"/>
              <w:right w:val="single" w:sz="4" w:space="0" w:color="000000"/>
            </w:tcBorders>
            <w:shd w:val="clear" w:color="auto" w:fill="auto"/>
          </w:tcPr>
          <w:p w:rsidR="00FC3E67" w:rsidRPr="00890289" w:rsidRDefault="00FC3E67" w:rsidP="00131E36">
            <w:pPr>
              <w:snapToGrid w:val="0"/>
              <w:spacing w:before="0" w:after="0"/>
              <w:jc w:val="left"/>
              <w:rPr>
                <w:rFonts w:eastAsia="Times New Roman"/>
              </w:rPr>
            </w:pPr>
            <w:r w:rsidRPr="00890289">
              <w:rPr>
                <w:rFonts w:eastAsia="Times New Roman"/>
              </w:rPr>
              <w:t>50 мг через день дни: 1</w:t>
            </w:r>
            <w:r w:rsidR="0094530A" w:rsidRPr="00890289">
              <w:rPr>
                <w:rFonts w:eastAsia="Times New Roman"/>
              </w:rPr>
              <w:t>−</w:t>
            </w:r>
            <w:r w:rsidRPr="00890289">
              <w:rPr>
                <w:rFonts w:eastAsia="Times New Roman"/>
              </w:rPr>
              <w:t>21</w:t>
            </w:r>
            <w:r w:rsidR="0094530A" w:rsidRPr="00890289">
              <w:rPr>
                <w:rFonts w:eastAsia="Times New Roman"/>
              </w:rPr>
              <w:t>-й</w:t>
            </w:r>
            <w:r w:rsidRPr="00890289">
              <w:rPr>
                <w:rFonts w:eastAsia="Times New Roman"/>
              </w:rPr>
              <w:t xml:space="preserve"> </w:t>
            </w:r>
          </w:p>
          <w:p w:rsidR="00FC3E67" w:rsidRPr="00890289" w:rsidRDefault="00FC3E67" w:rsidP="0094530A">
            <w:pPr>
              <w:snapToGrid w:val="0"/>
              <w:spacing w:before="0" w:after="0"/>
              <w:jc w:val="left"/>
            </w:pPr>
            <w:r w:rsidRPr="00890289">
              <w:rPr>
                <w:rFonts w:eastAsia="Times New Roman"/>
              </w:rPr>
              <w:t>каждые 4 нед</w:t>
            </w:r>
          </w:p>
        </w:tc>
      </w:tr>
    </w:tbl>
    <w:p w:rsidR="00F670B6" w:rsidRPr="00F05D88" w:rsidRDefault="00583CFF" w:rsidP="00131E36">
      <w:pPr>
        <w:pStyle w:val="a5"/>
        <w:numPr>
          <w:ilvl w:val="0"/>
          <w:numId w:val="5"/>
        </w:numPr>
        <w:spacing w:before="0" w:after="0"/>
        <w:ind w:left="709" w:hanging="709"/>
      </w:pPr>
      <w:r w:rsidRPr="003369B4">
        <w:t>П</w:t>
      </w:r>
      <w:r w:rsidR="00F670B6" w:rsidRPr="003369B4">
        <w:t>ациентам</w:t>
      </w:r>
      <w:r w:rsidRPr="003369B4">
        <w:t xml:space="preserve"> старше 75 лет</w:t>
      </w:r>
      <w:r w:rsidR="00F670B6" w:rsidRPr="003369B4">
        <w:t xml:space="preserve"> с неудовлетворительным физическим состоянием, тяжелой сопутствующей патологией </w:t>
      </w:r>
      <w:r w:rsidR="00F670B6" w:rsidRPr="00F05D88">
        <w:rPr>
          <w:b/>
        </w:rPr>
        <w:t>рекомендуется</w:t>
      </w:r>
      <w:r w:rsidR="003369B4" w:rsidRPr="00F05D88">
        <w:rPr>
          <w:b/>
        </w:rPr>
        <w:t xml:space="preserve"> </w:t>
      </w:r>
      <w:r w:rsidR="00F670B6" w:rsidRPr="00CD48C7">
        <w:t>терапия комбинацией мелфалана</w:t>
      </w:r>
      <w:r w:rsidR="00E0610F" w:rsidRPr="00CD48C7">
        <w:t>**</w:t>
      </w:r>
      <w:r w:rsidR="00F670B6" w:rsidRPr="00CD48C7">
        <w:t xml:space="preserve"> с преднизолоном</w:t>
      </w:r>
      <w:r w:rsidR="00E0610F" w:rsidRPr="00CD48C7">
        <w:t>**</w:t>
      </w:r>
      <w:r w:rsidR="00DA70E3" w:rsidRPr="00CD48C7">
        <w:t xml:space="preserve"> (описание режимов – см. приложение </w:t>
      </w:r>
      <w:r w:rsidR="00C812D6" w:rsidRPr="00CD48C7">
        <w:t>А3.1</w:t>
      </w:r>
      <w:r w:rsidR="0094530A" w:rsidRPr="00CD48C7">
        <w:t>.</w:t>
      </w:r>
      <w:r w:rsidR="00DA70E3" w:rsidRPr="00CD48C7">
        <w:t>)</w:t>
      </w:r>
      <w:r w:rsidR="00267DE2" w:rsidRPr="00CD48C7">
        <w:t xml:space="preserve"> </w:t>
      </w:r>
      <w:r w:rsidR="00267DE2" w:rsidRPr="00F05D88">
        <w:fldChar w:fldCharType="begin" w:fldLock="1"/>
      </w:r>
      <w:r w:rsidR="00D95A58" w:rsidRPr="00F05D88">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267DE2" w:rsidRPr="00F05D88">
        <w:fldChar w:fldCharType="separate"/>
      </w:r>
      <w:r w:rsidR="00267DE2" w:rsidRPr="00F05D88">
        <w:rPr>
          <w:noProof/>
        </w:rPr>
        <w:t>[1]</w:t>
      </w:r>
      <w:r w:rsidR="00267DE2" w:rsidRPr="00F05D88">
        <w:fldChar w:fldCharType="end"/>
      </w:r>
      <w:r w:rsidR="00F670B6" w:rsidRPr="00F05D88">
        <w:t>.</w:t>
      </w:r>
    </w:p>
    <w:p w:rsidR="00FC3E67" w:rsidRDefault="00F670B6" w:rsidP="00131E36">
      <w:pPr>
        <w:spacing w:before="0" w:after="0"/>
        <w:ind w:left="709"/>
        <w:contextualSpacing/>
        <w:rPr>
          <w:b/>
        </w:rPr>
      </w:pPr>
      <w:r w:rsidRPr="00BF55DF">
        <w:rPr>
          <w:b/>
        </w:rPr>
        <w:t xml:space="preserve">Уровень убедительности рекомендаций </w:t>
      </w:r>
      <w:r w:rsidR="0094530A" w:rsidRPr="00BF55DF">
        <w:rPr>
          <w:b/>
        </w:rPr>
        <w:t xml:space="preserve">− </w:t>
      </w:r>
      <w:r w:rsidR="00267DE2" w:rsidRPr="00BF55DF">
        <w:rPr>
          <w:b/>
        </w:rPr>
        <w:t xml:space="preserve">С </w:t>
      </w:r>
      <w:r w:rsidRPr="00BF55DF">
        <w:rPr>
          <w:b/>
        </w:rPr>
        <w:t>(уровень достоверности доказательств</w:t>
      </w:r>
      <w:r w:rsidR="00463342" w:rsidRPr="00BF55DF">
        <w:rPr>
          <w:b/>
        </w:rPr>
        <w:t xml:space="preserve"> </w:t>
      </w:r>
      <w:r w:rsidR="0094530A" w:rsidRPr="00F05D88">
        <w:rPr>
          <w:b/>
        </w:rPr>
        <w:t xml:space="preserve">− </w:t>
      </w:r>
      <w:r w:rsidR="00267DE2" w:rsidRPr="00F05D88">
        <w:rPr>
          <w:b/>
        </w:rPr>
        <w:t>5</w:t>
      </w:r>
      <w:r w:rsidRPr="00F05D88">
        <w:rPr>
          <w:b/>
        </w:rPr>
        <w:t>)</w:t>
      </w:r>
    </w:p>
    <w:p w:rsidR="004D7374" w:rsidRPr="00971A8A" w:rsidRDefault="004D7374" w:rsidP="00E36DFA">
      <w:pPr>
        <w:pStyle w:val="2"/>
      </w:pPr>
      <w:bookmarkStart w:id="25" w:name="_Toc24826816"/>
      <w:r w:rsidRPr="00971A8A">
        <w:t>3.</w:t>
      </w:r>
      <w:r w:rsidR="006E6357" w:rsidRPr="00971A8A">
        <w:t>3</w:t>
      </w:r>
      <w:r w:rsidR="00BF3C4A" w:rsidRPr="00971A8A">
        <w:t xml:space="preserve"> </w:t>
      </w:r>
      <w:r w:rsidR="006E6357" w:rsidRPr="00971A8A">
        <w:t xml:space="preserve">Лечение </w:t>
      </w:r>
      <w:r w:rsidR="00FB03BB" w:rsidRPr="00971A8A">
        <w:t>пациентов</w:t>
      </w:r>
      <w:r w:rsidR="006E6357" w:rsidRPr="00971A8A">
        <w:t xml:space="preserve"> с впервые диагностированной ММ, кандидатов на </w:t>
      </w:r>
      <w:r w:rsidR="00457DBC" w:rsidRPr="00971A8A">
        <w:t>ВДХТ</w:t>
      </w:r>
      <w:r w:rsidR="006E6357" w:rsidRPr="00971A8A">
        <w:t xml:space="preserve"> с последующей ауто</w:t>
      </w:r>
      <w:r w:rsidR="00267DE2" w:rsidRPr="00971A8A">
        <w:t>-</w:t>
      </w:r>
      <w:r w:rsidR="006E6357" w:rsidRPr="00971A8A">
        <w:t>ТГСК</w:t>
      </w:r>
      <w:bookmarkEnd w:id="25"/>
    </w:p>
    <w:p w:rsidR="004D7374" w:rsidRDefault="000558B2" w:rsidP="00131E36">
      <w:pPr>
        <w:pStyle w:val="a5"/>
        <w:numPr>
          <w:ilvl w:val="0"/>
          <w:numId w:val="5"/>
        </w:numPr>
        <w:spacing w:before="0" w:after="0"/>
        <w:ind w:left="709" w:hanging="709"/>
      </w:pPr>
      <w:r>
        <w:t>Пациентам</w:t>
      </w:r>
      <w:r w:rsidR="00245B13">
        <w:t xml:space="preserve"> с впервые выявленной ММ в возрасте до 65</w:t>
      </w:r>
      <w:r w:rsidR="002B59AA">
        <w:t xml:space="preserve"> лет</w:t>
      </w:r>
      <w:r w:rsidR="00245B13">
        <w:t>, а также пациентам 65</w:t>
      </w:r>
      <w:r w:rsidR="00457DBC">
        <w:t>−</w:t>
      </w:r>
      <w:r w:rsidR="00245B13">
        <w:t>70</w:t>
      </w:r>
      <w:r w:rsidR="00457DBC">
        <w:t> </w:t>
      </w:r>
      <w:r w:rsidR="00245B13">
        <w:t xml:space="preserve">лет с хорошим соматическим статусом без тяжелых сопутствующих заболеваний </w:t>
      </w:r>
      <w:r w:rsidR="00FF0C02">
        <w:rPr>
          <w:b/>
        </w:rPr>
        <w:t>рекомендуется</w:t>
      </w:r>
      <w:r w:rsidR="00727909">
        <w:rPr>
          <w:b/>
        </w:rPr>
        <w:t xml:space="preserve"> </w:t>
      </w:r>
      <w:r w:rsidR="006D1F76">
        <w:t>проведение</w:t>
      </w:r>
      <w:r w:rsidR="00245B13">
        <w:t xml:space="preserve"> высокодозной консолидации, включающей </w:t>
      </w:r>
      <w:r w:rsidR="00457DBC">
        <w:t>1</w:t>
      </w:r>
      <w:r w:rsidR="00245B13">
        <w:t xml:space="preserve"> или </w:t>
      </w:r>
      <w:r w:rsidR="00457DBC">
        <w:t>2</w:t>
      </w:r>
      <w:r w:rsidR="00245B13">
        <w:t xml:space="preserve"> трансплантации ауто</w:t>
      </w:r>
      <w:r w:rsidR="00946AD8" w:rsidRPr="00946AD8">
        <w:t>-</w:t>
      </w:r>
      <w:r w:rsidR="00245B13">
        <w:t>ТГСК</w:t>
      </w:r>
      <w:r w:rsidR="00946AD8" w:rsidRPr="00946AD8">
        <w:t xml:space="preserve"> </w:t>
      </w:r>
      <w:r w:rsidR="00A96FB6">
        <w:fldChar w:fldCharType="begin" w:fldLock="1"/>
      </w:r>
      <w:r w:rsidR="001D3DC1">
        <w:instrText>ADDIN CSL_CITATION {"citationItems":[{"id":"ITEM-1","itemData":{"DOI":"10.1080/10428194.2018.1543874","ISSN":"10292403","abstract":"To evaluate the role of high-dose melphalan plus autologous stem-cell transplantation (ASCT) as consolidation therapy for patients with newly diagnosed multiple myeloma (NDMM) in the era of novel agents, we undertook this meta-analysis. Medline, Embase, the Cochrane controlled trials register, the SCI, ASH, EHA, and ASCO were searched for clinical trials including high-dose chemotherapy plus ASCT for patients with NDMM. Finally, we identified four RCTs of ASCT versus novel agents based consolidations, and 10 single-arm prospective trials of ASCT alone. Pooled analysis indicated that response quality improved further after ASCT in the era of novel agents (&gt;=CR rates of 13% pre-ASCT versus 29% post-ASCT, p =.003). When compared to novel agents containing consolidation regimens, high-dose chemotherapy plus ASCT significantly improved progression-free survival (PFS) (HR =0.56, p &lt;.001). No significant difference in overall survival (OS) was found between them (HR =0.66, p =.22). Of note, subgroup analysis indicated that ASCT could significantly improve OS (HR =0.49, p =.0004) when compared to alkylating agent-based regimens plus lenalidomide consolidation. In summary, response quality and PFS improved further over ASCT in the era of novel agents. ASCT could improve survival than alkylating agent-based regimens plus lenalidomide consolidations for patients with NDMM.Copyright © 2018, © 2018 Informa UK Limited, trading as Taylor &amp; Francis Group.","author":[{"dropping-particle":"","family":"Su","given":"Baohua","non-dropping-particle":"","parse-names":false,"suffix":""},{"dropping-particle":"","family":"Zhu","given":"Xu","non-dropping-particle":"","parse-names":false,"suffix":""},{"dropping-particle":"","family":"Jiang","given":"Yina","non-dropping-particle":"","parse-names":false,"suffix":""},{"dropping-particle":"","family":"Wang","given":"Lida","non-dropping-particle":"","parse-names":false,"suffix":""},{"dropping-particle":"","family":"Zhao","given":"Ningning","non-dropping-particle":"","parse-names":false,"suffix":""},{"dropping-particle":"","family":"Ran","given":"Xuehong","non-dropping-particle":"","parse-names":false,"suffix":""},{"dropping-particle":"","family":"Zheng","given":"Xiaobin","non-dropping-particle":"","parse-names":false,"suffix":""},{"dropping-particle":"","family":"Guo","given":"Hui","non-dropping-particle":"","parse-names":false,"suffix":""}],"container-title":"Leukemia and Lymphoma","id":"ITEM-1","issued":{"date-parts":[["2018"]]},"publisher":"Taylor and Francis Ltd","title":"A meta-analysis of autologous transplantation for newly diagnosed multiple myeloma in the era of novel agents","type":"article-journal"},"uris":["http://www.mendeley.com/documents/?uuid=a763b0b9-22ac-33ee-8ac3-1da970da9202"]},{"id":"ITEM-2","itemData":{"DOI":"10.1001/jamaoncol.2017.4600","ISSN":"23742445","abstract":"Importance The role of high-dose therapy with melphalan followed by autologous stem cell transplant (HDT/ASCT) in patients with multiple myeloma continues to be debated in the context of novel agent induction. Objective To perform a systematic review, conventional meta-analysis, and network meta-analysis of all phase 3 randomized clinical trials (RCTs) evaluating the role of HDT/ASCT. Data Sources We performed a systematic literature search of Cochrane Central, MEDLINE, and Scopus from January 2000 through April 2017 and relevant annual meeting abstracts from January 2014 to December 2016. The following search terms were used: \"myeloma\" combined with \"autologous,\" \"transplant,\" \"myeloablative,\" or \"stem cell.\" Study Selection Phase 3 RCTs comparing HDT/ASCT with standard-dose therapy (SDT) using novel agents were assessed. Studies comparing single HDT/ASCT with bortezomib, lenalidomide, and dexamethasone consolidation and tandem transplantation were included for network meta-analysis. Data Extraction And Synthesis For the random effects meta-analysis, we used hazard ratios (HRs) and corresponding 95% CIs. Main Outcomes and Measures The primary outcome was progression-free survival (PFS). Overall survival (OS), complete response, and treatment-related mortality were secondary outcomes. Results A total of 4 RCTs (2421 patients) for conventional meta-analysis and 5 RCTs (3171 patients) for network meta-analysis were selected. The combined odds for complete response were 1.27 (95% CI, 0.97-1.65; P = .07) with HDT/ASCT when compared with SDT. The combined HR for PFS was 0.55 (95% CI, 0.41-0.74; P &lt; .001) and 0.76 for OS (95% CI, 0.42-1.36; P = .20) in favor of HDT. Meta-regression showed that longer follow-up was associated with superior PFS (HR/mo, 0.98; 95% CI, 0.96-0.99; P = .03) and OS (HR/mo, 0.90; 95% CI, 0.84-0.96; P = .002). For PFS, tandem HDT/ASCT had the most favorable HR (0.49; 95% CI, 0.37-0.65) followed by single HDT/ASCT with bortezomib, lenalidomide, and dexamethasone (HR, 0.53; 95% CI, 0.37-0.76) and single HDT/ASCT alone (HR, 0.68; 95% CI, 0.53-0.87) compared with SDT. For OS, none of the HDT/ASCT-based approaches had a significant effect on survival. Treatment-related mortality with HDT/ASCT was minimal (&lt;1%). Conclusions and Relevance The results of the conventional meta-analysis and network meta-analysis of all the phase 3 RCTs showed that HDT/ASCT was associated with superior PFS with minimal toxic effects compared with SDT. Both tandem…","author":[{"dropping-particle":"","family":"Dhakal","given":"Binod","non-dropping-particle":"","parse-names":false,"suffix":""},{"dropping-particle":"","family":"Szabo","given":"Aniko","non-dropping-particle":"","parse-names":false,"suffix":""},{"dropping-particle":"","family":"Chhabra","given":"Saurabh","non-dropping-particle":"","parse-names":false,"suffix":""},{"dropping-particle":"","family":"Hamadani","given":"Mehdi","non-dropping-particle":"","parse-names":false,"suffix":""},{"dropping-particle":"","family":"D'Souza","given":"Anita","non-dropping-particle":"","parse-names":false,"suffix":""},{"dropping-particle":"","family":"Usmani","given":"Saad Z.","non-dropping-particle":"","parse-names":false,"suffix":""},{"dropping-particle":"","family":"Sieracki","given":"Rita","non-dropping-particle":"","parse-names":false,"suffix":""},{"dropping-particle":"","family":"Gyawali","given":"Bishal","non-dropping-particle":"","parse-names":false,"suffix":""},{"dropping-particle":"","family":"Jackson","given":"Jeffrey L.","non-dropping-particle":"","parse-names":false,"suffix":""},{"dropping-particle":"","family":"Asimakopoulos","given":"Fotis","non-dropping-particle":"","parse-names":false,"suffix":""},{"dropping-particle":"","family":"Hari","given":"Parameswaran N.","non-dropping-particle":"","parse-names":false,"suffix":""}],"container-title":"JAMA Oncology","id":"ITEM-2","issue":"3","issued":{"date-parts":[["2018","3","1"]]},"page":"343-350","publisher":"American Medical Association","title":"Autologous transplantation for newly diagnosed multiple myeloma in the era of novel agent induction a systematic review and meta-analysis","type":"article-journal","volume":"4"},"uris":["http://www.mendeley.com/documents/?uuid=e10abcf3-d81f-385d-80c0-5398aae26e72"]}],"mendeley":{"formattedCitation":"[36,37]","plainTextFormattedCitation":"[36,37]","previouslyFormattedCitation":"[36,37]"},"properties":{"noteIndex":0},"schema":"https://github.com/citation-style-language/schema/raw/master/csl-citation.json"}</w:instrText>
      </w:r>
      <w:r w:rsidR="00A96FB6">
        <w:fldChar w:fldCharType="separate"/>
      </w:r>
      <w:r w:rsidR="00D95A58" w:rsidRPr="00D95A58">
        <w:rPr>
          <w:noProof/>
        </w:rPr>
        <w:t>[36,37]</w:t>
      </w:r>
      <w:r w:rsidR="00A96FB6">
        <w:fldChar w:fldCharType="end"/>
      </w:r>
      <w:r w:rsidR="004D7374">
        <w:t xml:space="preserve">. </w:t>
      </w:r>
    </w:p>
    <w:p w:rsidR="004D7374" w:rsidRPr="00912FAC" w:rsidRDefault="004D7374" w:rsidP="00131E36">
      <w:pPr>
        <w:spacing w:before="0" w:after="0"/>
        <w:ind w:left="709"/>
        <w:contextualSpacing/>
        <w:rPr>
          <w:b/>
        </w:rPr>
      </w:pPr>
      <w:r w:rsidRPr="00912FAC">
        <w:rPr>
          <w:b/>
        </w:rPr>
        <w:t xml:space="preserve">Уровень убедительности рекомендаций </w:t>
      </w:r>
      <w:r w:rsidR="00457DBC">
        <w:rPr>
          <w:b/>
        </w:rPr>
        <w:t xml:space="preserve">− </w:t>
      </w:r>
      <w:r w:rsidR="000558B2" w:rsidRPr="00912FAC">
        <w:rPr>
          <w:b/>
        </w:rPr>
        <w:t>А</w:t>
      </w:r>
      <w:r w:rsidR="00946AD8" w:rsidRPr="00946AD8">
        <w:rPr>
          <w:b/>
        </w:rPr>
        <w:t xml:space="preserve"> </w:t>
      </w:r>
      <w:r w:rsidRPr="00912FAC">
        <w:rPr>
          <w:b/>
        </w:rPr>
        <w:t>(уровень достоверности доказательств</w:t>
      </w:r>
      <w:r w:rsidR="00946AD8" w:rsidRPr="00946AD8">
        <w:rPr>
          <w:b/>
        </w:rPr>
        <w:t xml:space="preserve"> </w:t>
      </w:r>
      <w:r w:rsidR="00457DBC">
        <w:rPr>
          <w:b/>
        </w:rPr>
        <w:t xml:space="preserve">− </w:t>
      </w:r>
      <w:r w:rsidR="000558B2" w:rsidRPr="00B202CC">
        <w:rPr>
          <w:b/>
        </w:rPr>
        <w:t>1</w:t>
      </w:r>
      <w:r w:rsidRPr="00912FAC">
        <w:rPr>
          <w:b/>
        </w:rPr>
        <w:t>)</w:t>
      </w:r>
    </w:p>
    <w:p w:rsidR="004D7374" w:rsidRDefault="004D7374" w:rsidP="00131E36">
      <w:pPr>
        <w:spacing w:before="0" w:after="0"/>
        <w:ind w:left="709"/>
        <w:contextualSpacing/>
        <w:rPr>
          <w:i/>
        </w:rPr>
      </w:pPr>
      <w:r w:rsidRPr="00912FAC">
        <w:rPr>
          <w:b/>
        </w:rPr>
        <w:t xml:space="preserve">Комментарий: </w:t>
      </w:r>
      <w:r w:rsidR="007A3969" w:rsidRPr="007A3969">
        <w:rPr>
          <w:i/>
        </w:rPr>
        <w:t xml:space="preserve">Возрастные ограничения обусловлены тем, что у пожилых </w:t>
      </w:r>
      <w:r w:rsidR="00FB03BB" w:rsidRPr="00FB03BB">
        <w:rPr>
          <w:i/>
        </w:rPr>
        <w:t>пациентов</w:t>
      </w:r>
      <w:r w:rsidR="007A3969" w:rsidRPr="007A3969">
        <w:rPr>
          <w:i/>
        </w:rPr>
        <w:t xml:space="preserve"> возрастает риск трансплантатассоциированной летальности. Особенно это важно для возрастной категории </w:t>
      </w:r>
      <w:r w:rsidR="002B125B">
        <w:rPr>
          <w:i/>
        </w:rPr>
        <w:t>старше</w:t>
      </w:r>
      <w:r w:rsidR="007A3969" w:rsidRPr="007A3969">
        <w:rPr>
          <w:i/>
        </w:rPr>
        <w:t xml:space="preserve"> 70 лет, при которой указанный риск может достигать 8</w:t>
      </w:r>
      <w:r w:rsidR="002B125B">
        <w:rPr>
          <w:i/>
        </w:rPr>
        <w:t> </w:t>
      </w:r>
      <w:r w:rsidR="007A3969" w:rsidRPr="007A3969">
        <w:rPr>
          <w:i/>
        </w:rPr>
        <w:t xml:space="preserve">%. Миеломная нефропатия (включая диализзависимую почечную недостаточность) не является противопоказанием для выполнения </w:t>
      </w:r>
      <w:r w:rsidR="00D71FBE">
        <w:rPr>
          <w:i/>
        </w:rPr>
        <w:t>ВДХТ</w:t>
      </w:r>
      <w:r w:rsidR="007A3969" w:rsidRPr="007A3969">
        <w:rPr>
          <w:i/>
        </w:rPr>
        <w:t xml:space="preserve"> с последующей ауто-ТГСК. Пациент может быть направлен в </w:t>
      </w:r>
      <w:r w:rsidR="007A3969" w:rsidRPr="007A3969">
        <w:rPr>
          <w:i/>
        </w:rPr>
        <w:lastRenderedPageBreak/>
        <w:t>трансплантационный центр, располагающий возможностью проведения гемодиализа.</w:t>
      </w:r>
    </w:p>
    <w:p w:rsidR="00EE2530" w:rsidRPr="000B44DE" w:rsidRDefault="00EE2530" w:rsidP="000B44DE">
      <w:pPr>
        <w:pStyle w:val="2"/>
        <w:ind w:firstLine="709"/>
        <w:rPr>
          <w:b w:val="0"/>
        </w:rPr>
      </w:pPr>
      <w:bookmarkStart w:id="26" w:name="_Toc24826817"/>
      <w:r w:rsidRPr="00E36DFA">
        <w:rPr>
          <w:rStyle w:val="ab"/>
          <w:b/>
        </w:rPr>
        <w:t>3.3.1</w:t>
      </w:r>
      <w:r w:rsidR="00971A8A" w:rsidRPr="00E36DFA">
        <w:rPr>
          <w:rStyle w:val="ab"/>
          <w:b/>
        </w:rPr>
        <w:t xml:space="preserve"> </w:t>
      </w:r>
      <w:r w:rsidRPr="000B44DE">
        <w:rPr>
          <w:rStyle w:val="ab"/>
          <w:b/>
        </w:rPr>
        <w:t>Индукционный этап терапии</w:t>
      </w:r>
      <w:bookmarkEnd w:id="26"/>
    </w:p>
    <w:p w:rsidR="00771514" w:rsidRPr="00021E5D" w:rsidRDefault="000558B2" w:rsidP="00131E36">
      <w:pPr>
        <w:pStyle w:val="a5"/>
        <w:numPr>
          <w:ilvl w:val="0"/>
          <w:numId w:val="5"/>
        </w:numPr>
        <w:spacing w:before="0" w:after="0"/>
        <w:ind w:left="709" w:hanging="709"/>
      </w:pPr>
      <w:r>
        <w:t>Пациентам</w:t>
      </w:r>
      <w:r w:rsidR="00771514">
        <w:t xml:space="preserve"> с впервые выявленной ММ в возрасте до 65</w:t>
      </w:r>
      <w:r>
        <w:t xml:space="preserve"> лет</w:t>
      </w:r>
      <w:r w:rsidR="00771514">
        <w:t>, а также пациентам 65</w:t>
      </w:r>
      <w:r w:rsidR="006517D7">
        <w:t>−</w:t>
      </w:r>
      <w:r w:rsidR="00771514">
        <w:t>70</w:t>
      </w:r>
      <w:r w:rsidR="00A425E4">
        <w:t> </w:t>
      </w:r>
      <w:r w:rsidR="00771514">
        <w:t>лет с хорошим соматическим статусом без тяжелых сопутствующих заболеваний, которым планируется консолидация ауто</w:t>
      </w:r>
      <w:r w:rsidR="00267DE2">
        <w:t>-</w:t>
      </w:r>
      <w:r w:rsidR="00771514" w:rsidRPr="00021E5D">
        <w:t xml:space="preserve">ТГСК, в качестве индукционной терапии </w:t>
      </w:r>
      <w:r w:rsidR="00FF0C02" w:rsidRPr="00021E5D">
        <w:rPr>
          <w:b/>
        </w:rPr>
        <w:t>рекомендуется</w:t>
      </w:r>
      <w:r w:rsidR="00771514" w:rsidRPr="00021E5D">
        <w:t xml:space="preserve"> применять один из следующих режимов терапии</w:t>
      </w:r>
      <w:r w:rsidR="00032CFB" w:rsidRPr="00021E5D">
        <w:t xml:space="preserve"> (описание режимов – см. приложение </w:t>
      </w:r>
      <w:r w:rsidR="00C812D6" w:rsidRPr="00021E5D">
        <w:t>А3.1</w:t>
      </w:r>
      <w:r w:rsidR="006517D7" w:rsidRPr="00021E5D">
        <w:t>.</w:t>
      </w:r>
      <w:r w:rsidR="00032CFB" w:rsidRPr="00021E5D">
        <w:t>)</w:t>
      </w:r>
      <w:r w:rsidR="00946AD8" w:rsidRPr="00021E5D">
        <w:t xml:space="preserve"> </w:t>
      </w:r>
      <w:r w:rsidR="00A96FB6" w:rsidRPr="00021E5D">
        <w:fldChar w:fldCharType="begin" w:fldLock="1"/>
      </w:r>
      <w:r w:rsidR="00021E5D">
        <w:instrText>ADDIN CSL_CITATION {"citationItems":[{"id":"ITEM-1","itemData":{"DOI":"10.1002/cncr.28325","ISSN":"0008543X","author":[{"dropping-particle":"","family":"Nooka","given":"Ajay K.","non-dropping-particle":"","parse-names":false,"suffix":""},{"dropping-particle":"","family":"Kaufman","given":"Jonathan L.","non-dropping-particle":"","parse-names":false,"suffix":""},{"dropping-particle":"","family":"Behera","given":"Madhusmita","non-dropping-particle":"","parse-names":false,"suffix":""},{"dropping-particle":"","family":"Langston","given":"Amelia","non-dropping-particle":"","parse-names":false,"suffix":""},{"dropping-particle":"","family":"Waller","given":"Edmund K.","non-dropping-particle":"","parse-names":false,"suffix":""},{"dropping-particle":"","family":"Flowers","given":"Christopher R.","non-dropping-particle":"","parse-names":false,"suffix":""},{"dropping-particle":"","family":"Gleason","given":"Charise","non-dropping-particle":"","parse-names":false,"suffix":""},{"dropping-particle":"","family":"Boise","given":"Lawrence H.","non-dropping-particle":"","parse-names":false,"suffix":""},{"dropping-particle":"","family":"Lonial","given":"Sagar","non-dropping-particle":"","parse-names":false,"suffix":""}],"container-title":"Cancer","id":"ITEM-1","issue":"23","issued":{"date-parts":[["2013","12","1"]]},"page":"4119-4128","title":"Bortezomib-containing induction regimens in transplant-eligible myeloma patients","type":"article-journal","volume":"119"},"uris":["http://www.mendeley.com/documents/?uuid=256f10f7-eef8-3ee6-82f2-127c8c710e16"]},{"id":"ITEM-2","itemData":{"DOI":"10.1111/bjh.12946","ISSN":"13652141","abstract":"Three-drug induction regimens have become the standard of care in newly diagnosed transplant-eligible multiple myeloma patients. Two frequently used protocols are bortezomib, cyclophosphamide and dexamethasone (VCD) and bortezomib, thalidomide and dexamethasone (VTD). Comparisons between the two are lacking. The present study aimed to identify the differences in response rate and toxicity between the two regimens. Databases were searched using the terms 'VTD' or 'VCD' and 'induction regimens for newly diagnosed multiple myeloma'. Prospective trials evaluating initial response in transplant eligible patients were included. The main outcome measures were response rates and adverse events. Eight clinical trials were eligible for analysis. Overall 672 patients were treated with either VCD (n = 157) or VTD (n = 515) as induction therapy. Patients treated with VTD presented with a significantly higher complete/near complete response (34% vs. 6%, P = 0·002) as well as a higher very good partial response rate or better, following induction therapy (62% vs. 27%, P &lt; 0·0001). Although grade 3-4 neurotoxicity was more frequent during VTD therapy (11% vs. 6%, P = 0·057), a higher incidence of overall grade 3-4 adverse events was found in the VCD-treated patients (74% vs. 51%, P &lt; 0·001). VTD induction therapy may be superior in achieving deeper response rate following induction therapy, and is better tolerated. © 2014 John Wiley &amp; Sons Ltd.","author":[{"dropping-particle":"","family":"Leiba","given":"Merav","non-dropping-particle":"","parse-names":false,"suffix":""},{"dropping-particle":"","family":"Kedmi","given":"Meirav","non-dropping-particle":"","parse-names":false,"suffix":""},{"dropping-particle":"","family":"Duek","given":"Adrian","non-dropping-particle":"","parse-names":false,"suffix":""},{"dropping-particle":"","family":"Freidman","given":"Tzachi","non-dropping-particle":"","parse-names":false,"suffix":""},{"dropping-particle":"","family":"Weiss","given":"Mia","non-dropping-particle":"","parse-names":false,"suffix":""},{"dropping-particle":"","family":"Leiba","given":"Ronit","non-dropping-particle":"","parse-names":false,"suffix":""},{"dropping-particle":"","family":"Nagler","given":"Arnon","non-dropping-particle":"","parse-names":false,"suffix":""},{"dropping-particle":"","family":"Avigdor","given":"Abraham","non-dropping-particle":"","parse-names":false,"suffix":""}],"container-title":"British Journal of Haematology","id":"ITEM-2","issue":"5","issued":{"date-parts":[["2014"]]},"page":"702-710","publisher":"Blackwell Publishing Ltd","title":"Bortezomib-Cyclophosphamide-Dexamethasone (VCD) versus Bortezomib-Thalidomide-Dexamethasone (VTD) -based regimens as induction therapies in newly diagnosed transplant eligible patients with multiple myeloma: A meta-analysis","type":"article-journal","volume":"166"},"uris":["http://www.mendeley.com/documents/?uuid=305ba1b6-a29e-353f-b070-b7510acc69ad"]}],"mendeley":{"formattedCitation":"[38,39]","plainTextFormattedCitation":"[38,39]","previouslyFormattedCitation":"[38,39]"},"properties":{"noteIndex":0},"schema":"https://github.com/citation-style-language/schema/raw/master/csl-citation.json"}</w:instrText>
      </w:r>
      <w:r w:rsidR="00A96FB6" w:rsidRPr="00021E5D">
        <w:fldChar w:fldCharType="separate"/>
      </w:r>
      <w:r w:rsidR="00021E5D" w:rsidRPr="00021E5D">
        <w:rPr>
          <w:noProof/>
        </w:rPr>
        <w:t>[38,39]</w:t>
      </w:r>
      <w:r w:rsidR="00A96FB6" w:rsidRPr="00021E5D">
        <w:fldChar w:fldCharType="end"/>
      </w:r>
      <w:r w:rsidR="00771514" w:rsidRPr="00021E5D">
        <w:t>:</w:t>
      </w:r>
    </w:p>
    <w:p w:rsidR="00771514" w:rsidRPr="00021E5D" w:rsidRDefault="00771514" w:rsidP="00131E36">
      <w:pPr>
        <w:pStyle w:val="a5"/>
        <w:numPr>
          <w:ilvl w:val="1"/>
          <w:numId w:val="5"/>
        </w:numPr>
        <w:spacing w:before="0" w:after="0"/>
      </w:pPr>
      <w:r w:rsidRPr="00021E5D">
        <w:t>Бортезомиб</w:t>
      </w:r>
      <w:r w:rsidR="002A14A3" w:rsidRPr="00021E5D">
        <w:t>**</w:t>
      </w:r>
      <w:r w:rsidRPr="00021E5D">
        <w:t>/циклофосфамид</w:t>
      </w:r>
      <w:r w:rsidR="002A14A3" w:rsidRPr="00021E5D">
        <w:t>**</w:t>
      </w:r>
      <w:r w:rsidRPr="00021E5D">
        <w:t>/дексаметазон</w:t>
      </w:r>
      <w:r w:rsidR="002A14A3" w:rsidRPr="00021E5D">
        <w:t>**</w:t>
      </w:r>
      <w:r w:rsidRPr="00021E5D">
        <w:t xml:space="preserve"> (VCD)</w:t>
      </w:r>
    </w:p>
    <w:p w:rsidR="00771514" w:rsidRPr="00021E5D" w:rsidRDefault="00771514" w:rsidP="00131E36">
      <w:pPr>
        <w:pStyle w:val="a5"/>
        <w:numPr>
          <w:ilvl w:val="1"/>
          <w:numId w:val="5"/>
        </w:numPr>
        <w:spacing w:before="0" w:after="0"/>
      </w:pPr>
      <w:r w:rsidRPr="00021E5D">
        <w:t>Бортезомиб</w:t>
      </w:r>
      <w:r w:rsidR="002A14A3" w:rsidRPr="00021E5D">
        <w:t>**</w:t>
      </w:r>
      <w:r w:rsidRPr="00021E5D">
        <w:t>/доксорубицин</w:t>
      </w:r>
      <w:r w:rsidR="002A14A3" w:rsidRPr="00021E5D">
        <w:t>**</w:t>
      </w:r>
      <w:r w:rsidRPr="00021E5D">
        <w:t>/дексаметазон</w:t>
      </w:r>
      <w:r w:rsidR="002A14A3" w:rsidRPr="00021E5D">
        <w:t>**</w:t>
      </w:r>
      <w:r w:rsidRPr="00021E5D">
        <w:t xml:space="preserve"> (PAD)</w:t>
      </w:r>
    </w:p>
    <w:p w:rsidR="00771514" w:rsidRPr="00021E5D" w:rsidRDefault="00771514" w:rsidP="00131E36">
      <w:pPr>
        <w:pStyle w:val="a5"/>
        <w:numPr>
          <w:ilvl w:val="1"/>
          <w:numId w:val="5"/>
        </w:numPr>
        <w:spacing w:before="0" w:after="0"/>
      </w:pPr>
      <w:r w:rsidRPr="00021E5D">
        <w:t>Бортезомиб</w:t>
      </w:r>
      <w:r w:rsidR="002A14A3" w:rsidRPr="00021E5D">
        <w:t>**</w:t>
      </w:r>
      <w:r w:rsidRPr="00021E5D">
        <w:t>/дексаметазон</w:t>
      </w:r>
      <w:r w:rsidR="002A14A3" w:rsidRPr="00021E5D">
        <w:t>**</w:t>
      </w:r>
      <w:r w:rsidRPr="00021E5D">
        <w:t xml:space="preserve"> (VD). </w:t>
      </w:r>
    </w:p>
    <w:p w:rsidR="00771514" w:rsidRPr="00912FAC" w:rsidRDefault="00771514" w:rsidP="00131E36">
      <w:pPr>
        <w:spacing w:before="0" w:after="0"/>
        <w:contextualSpacing/>
        <w:rPr>
          <w:b/>
        </w:rPr>
      </w:pPr>
      <w:r w:rsidRPr="00912FAC">
        <w:rPr>
          <w:b/>
        </w:rPr>
        <w:t xml:space="preserve">Уровень убедительности рекомендаций </w:t>
      </w:r>
      <w:r w:rsidR="006517D7">
        <w:rPr>
          <w:b/>
        </w:rPr>
        <w:t xml:space="preserve">− </w:t>
      </w:r>
      <w:r w:rsidR="003C7967" w:rsidRPr="00912FAC">
        <w:rPr>
          <w:b/>
        </w:rPr>
        <w:t>А</w:t>
      </w:r>
      <w:r w:rsidR="00946AD8" w:rsidRPr="00946AD8">
        <w:rPr>
          <w:b/>
        </w:rPr>
        <w:t xml:space="preserve"> </w:t>
      </w:r>
      <w:r w:rsidRPr="00912FAC">
        <w:rPr>
          <w:b/>
        </w:rPr>
        <w:t>(уровень достоверности доказательств</w:t>
      </w:r>
      <w:r w:rsidR="00946AD8" w:rsidRPr="00946AD8">
        <w:rPr>
          <w:b/>
        </w:rPr>
        <w:t xml:space="preserve"> </w:t>
      </w:r>
      <w:r w:rsidR="006517D7">
        <w:rPr>
          <w:b/>
        </w:rPr>
        <w:t xml:space="preserve">− </w:t>
      </w:r>
      <w:r w:rsidR="003C7967" w:rsidRPr="00B202CC">
        <w:rPr>
          <w:b/>
        </w:rPr>
        <w:t>1</w:t>
      </w:r>
      <w:r w:rsidRPr="00912FAC">
        <w:rPr>
          <w:b/>
        </w:rPr>
        <w:t>)</w:t>
      </w:r>
    </w:p>
    <w:p w:rsidR="00B202CC" w:rsidRDefault="00771514" w:rsidP="00131E36">
      <w:pPr>
        <w:spacing w:before="0" w:after="0"/>
        <w:contextualSpacing/>
        <w:rPr>
          <w:i/>
        </w:rPr>
      </w:pPr>
      <w:r w:rsidRPr="00912FAC">
        <w:rPr>
          <w:b/>
        </w:rPr>
        <w:t xml:space="preserve">Комментарий: </w:t>
      </w:r>
      <w:r w:rsidR="006517D7">
        <w:rPr>
          <w:i/>
        </w:rPr>
        <w:t>т</w:t>
      </w:r>
      <w:r w:rsidR="00BD6C13" w:rsidRPr="00BD6C13">
        <w:rPr>
          <w:i/>
        </w:rPr>
        <w:t>риплеты, включающие бортезомиб</w:t>
      </w:r>
      <w:r w:rsidR="00AD2477">
        <w:rPr>
          <w:i/>
        </w:rPr>
        <w:t>**</w:t>
      </w:r>
      <w:r w:rsidR="00BD6C13" w:rsidRPr="00BD6C13">
        <w:rPr>
          <w:i/>
        </w:rPr>
        <w:t xml:space="preserve">, считаются самыми эффективными режимами, </w:t>
      </w:r>
      <w:r w:rsidR="00A425E4">
        <w:rPr>
          <w:i/>
        </w:rPr>
        <w:t>так как</w:t>
      </w:r>
      <w:r w:rsidR="00BD6C13" w:rsidRPr="00BD6C13">
        <w:rPr>
          <w:i/>
        </w:rPr>
        <w:t xml:space="preserve"> имеют большую эффективность, чем </w:t>
      </w:r>
      <w:r w:rsidR="00BD6C13" w:rsidRPr="00BD6C13">
        <w:rPr>
          <w:i/>
          <w:lang w:val="en-US"/>
        </w:rPr>
        <w:t>VD</w:t>
      </w:r>
      <w:r w:rsidR="00BD6C13" w:rsidRPr="00BD6C13">
        <w:rPr>
          <w:i/>
        </w:rPr>
        <w:t>.</w:t>
      </w:r>
      <w:r w:rsidR="00A425E4">
        <w:rPr>
          <w:i/>
        </w:rPr>
        <w:t xml:space="preserve"> </w:t>
      </w:r>
      <w:r w:rsidR="00BD6C13" w:rsidRPr="00BD6C13">
        <w:rPr>
          <w:i/>
        </w:rPr>
        <w:t>Во всех представленных схемах оптимальным является подкожное введение бортезомиба</w:t>
      </w:r>
      <w:r w:rsidR="00AD2477">
        <w:rPr>
          <w:i/>
        </w:rPr>
        <w:t>**</w:t>
      </w:r>
      <w:r w:rsidR="00BD6C13">
        <w:rPr>
          <w:i/>
        </w:rPr>
        <w:t>.</w:t>
      </w:r>
    </w:p>
    <w:p w:rsidR="00A625FE" w:rsidRPr="00021E5D" w:rsidRDefault="003C7967" w:rsidP="00131E36">
      <w:pPr>
        <w:pStyle w:val="a5"/>
        <w:numPr>
          <w:ilvl w:val="0"/>
          <w:numId w:val="5"/>
        </w:numPr>
        <w:spacing w:before="0" w:after="0"/>
        <w:ind w:left="709" w:hanging="709"/>
      </w:pPr>
      <w:r>
        <w:t>Пациентам</w:t>
      </w:r>
      <w:r w:rsidR="00A625FE">
        <w:t xml:space="preserve"> с впервые выявленной ММ в возрасте до 65</w:t>
      </w:r>
      <w:r w:rsidR="002A14A3">
        <w:t xml:space="preserve"> лет</w:t>
      </w:r>
      <w:r w:rsidR="00A625FE">
        <w:t xml:space="preserve">, а также пациентам </w:t>
      </w:r>
      <w:r w:rsidR="00A625FE" w:rsidRPr="009D3B20">
        <w:t>65</w:t>
      </w:r>
      <w:r w:rsidR="00A425E4">
        <w:t>−</w:t>
      </w:r>
      <w:r w:rsidR="00A625FE" w:rsidRPr="009D3B20">
        <w:t>70</w:t>
      </w:r>
      <w:r w:rsidR="00A425E4">
        <w:t> </w:t>
      </w:r>
      <w:r w:rsidR="00A625FE" w:rsidRPr="009D3B20">
        <w:t>лет</w:t>
      </w:r>
      <w:r w:rsidR="00A625FE">
        <w:t xml:space="preserve"> с хорошим соматическим статусом без тяжелых сопутствующих заболеваний, которым планируется </w:t>
      </w:r>
      <w:r w:rsidR="001F641D">
        <w:t>выполнение</w:t>
      </w:r>
      <w:r w:rsidR="00A625FE">
        <w:t xml:space="preserve"> ауто</w:t>
      </w:r>
      <w:r w:rsidR="00267DE2">
        <w:t>-</w:t>
      </w:r>
      <w:r w:rsidR="00A625FE">
        <w:t xml:space="preserve">ТГСК, при недостаточном ответе на индукционную </w:t>
      </w:r>
      <w:r w:rsidR="00A625FE" w:rsidRPr="0035490D">
        <w:t>терапию бортезомибсодержащ</w:t>
      </w:r>
      <w:r w:rsidR="0058682B" w:rsidRPr="00A26662">
        <w:t>ими режимами (не</w:t>
      </w:r>
      <w:r w:rsidR="00A425E4" w:rsidRPr="00BF55DF">
        <w:t> </w:t>
      </w:r>
      <w:r w:rsidR="0058682B" w:rsidRPr="00BF55DF">
        <w:t xml:space="preserve">достигнута по крайней </w:t>
      </w:r>
      <w:r w:rsidR="0058682B" w:rsidRPr="00021E5D">
        <w:t xml:space="preserve">мере </w:t>
      </w:r>
      <w:r w:rsidR="007071BD" w:rsidRPr="00021E5D">
        <w:t>ЧР</w:t>
      </w:r>
      <w:r w:rsidR="00031AAD" w:rsidRPr="00021E5D">
        <w:t xml:space="preserve"> </w:t>
      </w:r>
      <w:r w:rsidR="0058682B" w:rsidRPr="00021E5D">
        <w:t>после 4</w:t>
      </w:r>
      <w:r w:rsidR="001404D0" w:rsidRPr="00021E5D">
        <w:t>−</w:t>
      </w:r>
      <w:r w:rsidR="0058682B" w:rsidRPr="00021E5D">
        <w:t>6 циклов)</w:t>
      </w:r>
      <w:r w:rsidR="00727909" w:rsidRPr="00021E5D">
        <w:t xml:space="preserve"> </w:t>
      </w:r>
      <w:r w:rsidR="00FF0C02" w:rsidRPr="00021E5D">
        <w:rPr>
          <w:b/>
        </w:rPr>
        <w:t>рекомендуется</w:t>
      </w:r>
      <w:r w:rsidR="00A625FE" w:rsidRPr="00021E5D">
        <w:t xml:space="preserve"> применять </w:t>
      </w:r>
      <w:r w:rsidR="001404D0" w:rsidRPr="00021E5D">
        <w:br/>
        <w:t>2-</w:t>
      </w:r>
      <w:r w:rsidR="0058682B" w:rsidRPr="00021E5D">
        <w:t xml:space="preserve">ю линию терапии </w:t>
      </w:r>
      <w:r w:rsidR="00A625FE" w:rsidRPr="00021E5D">
        <w:t>од</w:t>
      </w:r>
      <w:r w:rsidR="0058682B" w:rsidRPr="00021E5D">
        <w:t>ним</w:t>
      </w:r>
      <w:r w:rsidR="00A625FE" w:rsidRPr="00021E5D">
        <w:t xml:space="preserve"> из следующих</w:t>
      </w:r>
      <w:r w:rsidR="00E3158E" w:rsidRPr="00021E5D">
        <w:t xml:space="preserve"> </w:t>
      </w:r>
      <w:r w:rsidR="0058682B" w:rsidRPr="00021E5D">
        <w:t>леналидомидсодержащих</w:t>
      </w:r>
      <w:r w:rsidR="00A625FE" w:rsidRPr="00021E5D">
        <w:t xml:space="preserve"> режимов терапии</w:t>
      </w:r>
      <w:r w:rsidR="00032CFB" w:rsidRPr="00021E5D">
        <w:t xml:space="preserve"> (описание режимов – см. приложение </w:t>
      </w:r>
      <w:r w:rsidR="00C812D6" w:rsidRPr="00021E5D">
        <w:t>А3.1</w:t>
      </w:r>
      <w:r w:rsidR="00032CFB" w:rsidRPr="00021E5D">
        <w:t>)</w:t>
      </w:r>
      <w:r w:rsidR="00E3158E" w:rsidRPr="00021E5D">
        <w:t xml:space="preserve"> </w:t>
      </w:r>
      <w:r w:rsidR="00A96FB6" w:rsidRPr="00021E5D">
        <w:fldChar w:fldCharType="begin" w:fldLock="1"/>
      </w:r>
      <w:r w:rsidR="00F74B6B">
        <w:instrText>ADDIN CSL_CITATION {"citationItems":[{"id":"ITEM-1","itemData":{"DOI":"10.3109/10428194.2013.847935","ISSN":"1029-2403","PMID":"24067138","abstract":"The objective of the study was to investigate the effects and safety of novel agents such as bortezomib and lenalidomide in the treatment of newly diagnosed patients with multiple myeloma. We performed a comprehensive meta-analysis of randomized controlled trials (RCTs). An initial search yielded 627 citations, of which 10 RCTs enrolling 4534 patients met the inclusion criteria. The addition of bortezomib to first-line therapy significantly prolonged overall survival (OS) (hazard ratio [HR], 0.75 [0.65, 0.87], p &lt; 0.001). On the other hand, the addition of lenalidomide had no impact on survival (HR, 0.88 [0.65, 1.20], p = 0.42). Both lenalidomide and bortezomib consistently improved progression-free survival (PFS) compared with conventional therapy alone. The corresponding HRs were 0.65, 95% confidence interval (CI) [0.55, 0.77] (p &lt; 0.001) for bortezomib and 0.48, 95% CI [0.42, 0.55]; (p &lt; 0.001) for lenalidomide, respectively. Some of the increased adverse events reported were herpes zoster (relative risk [RR], 3.64 [2.23, 5.94], p &lt; 0.001), peripheral neuropathy (RR, 3.59 [1.89, 6.83], p &lt; 0.001) and gastrointestinal effects (RR, 2.19 [1.37, 3.50], p = 0.001) among patients receiving bortezomib, and gastrointestinal effects (RR, 2.36 [1.33, 4.17], p = 0.003) and thromboembolic events (RR, 2.55 [1.48, 4.38], p &lt; 0.001) among patients receiving lenalidomide. Interestingly, treatment with bortezomib seemed to be associated with a lower rate of treatment related mortality (RR, 0.39 [0.18, 0.85], p = 0.02). An increased incidence of second primary cancers was observed in the lenalidomide group (RR 2.61 [1.60, 4.27], p &lt; 0.001). In summary, bortezomib improved OS, and both lenalidomide and bortezomib consistently improved PFS of patients with newly diagnosed myeloma when it was added to standard therapy.","author":[{"dropping-particle":"","family":"Zou","given":"Yandun","non-dropping-particle":"","parse-names":false,"suffix":""},{"dropping-particle":"","family":"Lin","given":"Mingzhen","non-dropping-particle":"","parse-names":false,"suffix":""},{"dropping-particle":"","family":"Sheng","given":"Zhixin","non-dropping-particle":"","parse-names":false,"suffix":""},{"dropping-particle":"","family":"Niu","given":"Shaona","non-dropping-particle":"","parse-names":false,"suffix":""}],"container-title":"Leukemia &amp; lymphoma","id":"ITEM-1","issue":"9","issued":{"date-parts":[["2014","9"]]},"page":"2024-31","title":"Bortezomib and lenalidomide as front-line therapy for multiple myeloma.","type":"article-journal","volume":"55"},"uris":["http://www.mendeley.com/documents/?uuid=9439b288-0a59-314a-9744-9aedc4d3acdf"]},{"id":"ITEM-2","itemData":{"DOI":"10.1155/2012/712613","ISSN":"16879104","abstract":"Although multiple myeloma remains incurable outside of allogeneic hematopoietic stem cell transplantation, novel agents made available only in the last few decades have nonetheless tremendously improved the landscape of myeloma treatment. Lenalidomide, of the immunomodulatory class of drugs, is one of those novel agents. In the non-transplant and relapsed/refractory settings, lenalidomide clearly benefits patients in terms of virtually all meaningful outcomes including overall survival. Data supporting the usage of lenalidomide as part of treatment approaches incorporating high-dose chemotherapy with autologous stem cell support (ASCT) are less mature as pertains to such long-term outcomes and toxicity, and lenalidomide is not currently approved by regulatory agencies for use in the context of ASCT in either the United States or Europe. That said, relatively preliminary efficacy data describing lenalidomide as a component of ASCT-based treatment approaches to MM are indeed promising, and consequently lenalidomide’s role in ASCT-based treatment strategies is growing. In this review we summarize existing data that pertains to lenalidomide in the specific context of ASCT, and we share our thoughts on how our own group applies these data to approach this complex issue clinically.","author":[{"dropping-particle":"","family":"Tuchman","given":"S. A.","non-dropping-particle":"","parse-names":false,"suffix":""},{"dropping-particle":"","family":"Chao","given":"N. J.","non-dropping-particle":"","parse-names":false,"suffix":""},{"dropping-particle":"","family":"Gasparetto","given":"C. G.","non-dropping-particle":"","parse-names":false,"suffix":""}],"container-title":"Advances in Hematology","id":"ITEM-2","issued":{"date-parts":[["2012"]]},"title":"Lenalidomide before and after autologous hematopoietic stem cell transplantation in multiple myeloma","type":"article","volume":"2012"},"uris":["http://www.mendeley.com/documents/?uuid=330c55ae-fe1c-3bb9-a9c3-2ee72be5b533"]},{"id":"ITEM-3","itemData":{"DOI":"10.1182/blood-2008-10-184135","ISSN":"00064971","abstract":"We conducted a phase 1/2 trial combining lenalidomide (R) with adriamycin (A) and dexamethasone (D) for relapsed and relapsed-refractory myeloma to determine tolerability and efficacy of this novel regimen, RAD, delivered for six 28-day cycles.Atotal of 69 intensively pretreated patients with a median age of 65 years (range, 46-77 years) were enrolled. Using pegfilgrastim (G), the maximum tolerated dose (MTD) was formally not reached at the highest dose level (R, 25 mg on days 1-21; A, 9 mg/m2 intravenously on days 1-4; and D, 40 mg on days 1-4 and 17-20; dose level 5+G), which was then used to determine efficacy. Grades 3/4 neutropenia and thrombocytopenia were seen in 48% and 38% of patients, respectively. Thromboembolic events occurred in 4.5% and severe infections in 10.5% of patients. On an intent-to treat analysis, overall response rate (ORR) was 73% for the whole study and 77% including 74% complete response (CR) plus very good partial response (VGPR) for dose level 5+G. Response rates and progression-free survival did not differ between relapsed and relapsed-refractory patients. Deletion of chromosome 17p and elevated β2-microglobulin were associated with significantly inferior response and shortened time to progression. In conclusion, RAD induces substantial and durable remission with an acceptable toxicity profile in patients with relapsed and relapsedrefractory myeloma. This trial was registered at www.ClinicalTrials.gov as no. NCT00306813. © 2009 by The American Society of Hematology.","author":[{"dropping-particle":"","family":"Knop","given":"Stefan","non-dropping-particle":"","parse-names":false,"suffix":""},{"dropping-particle":"","family":"Gerecke","given":"Christian","non-dropping-particle":"","parse-names":false,"suffix":""},{"dropping-particle":"","family":"Liebisch","given":"Peter","non-dropping-particle":"","parse-names":false,"suffix":""},{"dropping-particle":"","family":"Topp","given":"Max S.","non-dropping-particle":"","parse-names":false,"suffix":""},{"dropping-particle":"","family":"Platzbecker","given":"Uwe","non-dropping-particle":"","parse-names":false,"suffix":""},{"dropping-particle":"","family":"Sezer","given":"Orhan","non-dropping-particle":"","parse-names":false,"suffix":""},{"dropping-particle":"","family":"Vollmuth","given":"Christina","non-dropping-particle":"","parse-names":false,"suffix":""},{"dropping-particle":"","family":"Falk","given":"Karina","non-dropping-particle":"","parse-names":false,"suffix":""},{"dropping-particle":"","family":"Glasmacher","given":"Axel","non-dropping-particle":"","parse-names":false,"suffix":""},{"dropping-particle":"","family":"Maeder","given":"Uwe","non-dropping-particle":"","parse-names":false,"suffix":""},{"dropping-particle":"","family":"Einsele","given":"Hermann","non-dropping-particle":"","parse-names":false,"suffix":""},{"dropping-particle":"","family":"Bargou","given":"Ralf C.","non-dropping-particle":"","parse-names":false,"suffix":""}],"container-title":"Blood","id":"ITEM-3","issue":"18","issued":{"date-parts":[["2009"]]},"page":"4137-4143","title":"Lenalidomide, adriamycin, and dexamethasone (RAD) in patients with relapsed and refractory multiple myeloma: A report from the German Myeloma Study Group DSMM (Deutsche Studiengruppe Multiples Myelom)","type":"article-journal","volume":"113"},"uris":["http://www.mendeley.com/documents/?uuid=0d8c189c-027c-32d6-8683-617f38f90506"]},{"id":"ITEM-4","itemData":{"DOI":"10.1111/bjh.13100","ISSN":"13652141","abstract":"This single institution, open label Phase I-II dose escalation trial evaluated the safety and efficacy of the combination of lenalidomide (Revlimid®), cyclophosphamide and prednisone (CPR) in patients with relapsed/refractory multiple myeloma. The maximal administered dose of CPR consisted of cyclophosphamide 300 mg/m2 on day 1, 8, and 15, lenalidomide 25 mg on d 1-21 and prednisone 100 mg every other day in a 28-d cycle. Between November 2007 and June 2009, 32 patients were entered in cohorts of three at three dose levels. The median age was 64 years, 59% were male, with a median two prior regimens. Responding patients could stay on treatment until progression. The full-dose CPR regimen produced no dose-limiting toxicity and was delivered for a median of 16 months (3·5-65 months) with acceptable safety and tolerance. The overall response rate (≥ partial response) was 94% at a median follow up of 28 months. The median progression-free survival was 16·1 months [95% confidence interval (CI); 10·9-22·5 months], while the median overall survival was 27·6 months (95% CI; 16·8-36·6 months). Only the beta-2 microglobulin level at protocol entry correlated with a better survival (P = 0·047). These observations compare favourably with other 2- and 3- drug combinations for relapsed/refractory myeloma, and suggest that CPR should be evaluated further in the setting of relapsed/refractory disease, or in newly diagnosed patients.","author":[{"dropping-particle":"","family":"Reece","given":"Donna E.","non-dropping-particle":"","parse-names":false,"suffix":""},{"dropping-particle":"","family":"Masih-Khan","given":"Esther","non-dropping-particle":"","parse-names":false,"suffix":""},{"dropping-particle":"","family":"Atenafu","given":"Eshetu G.","non-dropping-particle":"","parse-names":false,"suffix":""},{"dropping-particle":"","family":"Jimenez-Zepeda","given":"Victor H.","non-dropping-particle":"","parse-names":false,"suffix":""},{"dropping-particle":"","family":"Anglin","given":"Peter","non-dropping-particle":"","parse-names":false,"suffix":""},{"dropping-particle":"","family":"Chen","given":"Christine","non-dropping-particle":"","parse-names":false,"suffix":""},{"dropping-particle":"","family":"Kukreti","given":"Vishal","non-dropping-particle":"","parse-names":false,"suffix":""},{"dropping-particle":"","family":"Mikhael","given":"Joseph R.","non-dropping-particle":"","parse-names":false,"suffix":""},{"dropping-particle":"","family":"Trudel","given":"Suzanne","non-dropping-particle":"","parse-names":false,"suffix":""}],"container-title":"British Journal of Haematology","id":"ITEM-4","issue":"1","issued":{"date-parts":[["2015","1","1"]]},"page":"46-54","publisher":"Blackwell Publishing Ltd","title":"Phase I-II trial of oral cyclophosphamide, prednisone and lenalidomide for the treatment of patients with relapsed and refractory multiple myeloma","type":"article-journal","volume":"168"},"uris":["http://www.mendeley.com/documents/?uuid=f070c6a6-7363-38b7-9c6a-f6434557db11"]}],"mendeley":{"formattedCitation":"[26,40–42]","plainTextFormattedCitation":"[26,40–42]","previouslyFormattedCitation":"[26,40–42]"},"properties":{"noteIndex":0},"schema":"https://github.com/citation-style-language/schema/raw/master/csl-citation.json"}</w:instrText>
      </w:r>
      <w:r w:rsidR="00A96FB6" w:rsidRPr="00021E5D">
        <w:fldChar w:fldCharType="separate"/>
      </w:r>
      <w:r w:rsidR="00705691" w:rsidRPr="00705691">
        <w:rPr>
          <w:noProof/>
        </w:rPr>
        <w:t>[26,40–42]</w:t>
      </w:r>
      <w:r w:rsidR="00A96FB6" w:rsidRPr="00021E5D">
        <w:fldChar w:fldCharType="end"/>
      </w:r>
      <w:r w:rsidR="00A625FE" w:rsidRPr="00021E5D">
        <w:t>:</w:t>
      </w:r>
    </w:p>
    <w:p w:rsidR="0058682B" w:rsidRPr="00021E5D" w:rsidRDefault="0058682B" w:rsidP="00131E36">
      <w:pPr>
        <w:pStyle w:val="a5"/>
        <w:numPr>
          <w:ilvl w:val="1"/>
          <w:numId w:val="5"/>
        </w:numPr>
        <w:spacing w:before="0" w:after="0"/>
      </w:pPr>
      <w:r w:rsidRPr="00021E5D">
        <w:t>Леналидомид</w:t>
      </w:r>
      <w:r w:rsidR="002A14A3" w:rsidRPr="00021E5D">
        <w:t>**</w:t>
      </w:r>
      <w:r w:rsidRPr="00021E5D">
        <w:t>/дексаметазон</w:t>
      </w:r>
      <w:r w:rsidR="002A14A3" w:rsidRPr="00021E5D">
        <w:t>**</w:t>
      </w:r>
      <w:r w:rsidRPr="00021E5D">
        <w:t xml:space="preserve"> (RD/Rd)</w:t>
      </w:r>
    </w:p>
    <w:p w:rsidR="0058682B" w:rsidRPr="00021E5D" w:rsidRDefault="0058682B" w:rsidP="00131E36">
      <w:pPr>
        <w:pStyle w:val="a5"/>
        <w:numPr>
          <w:ilvl w:val="1"/>
          <w:numId w:val="5"/>
        </w:numPr>
        <w:spacing w:before="0" w:after="0"/>
      </w:pPr>
      <w:r w:rsidRPr="00021E5D">
        <w:t>Леналидомид</w:t>
      </w:r>
      <w:r w:rsidR="002A14A3" w:rsidRPr="00021E5D">
        <w:t>**</w:t>
      </w:r>
      <w:r w:rsidRPr="00021E5D">
        <w:t>/бортезомиб</w:t>
      </w:r>
      <w:r w:rsidR="002A14A3" w:rsidRPr="00021E5D">
        <w:t>**</w:t>
      </w:r>
      <w:r w:rsidRPr="00021E5D">
        <w:t>/дексаметазон</w:t>
      </w:r>
      <w:r w:rsidR="002A14A3" w:rsidRPr="00021E5D">
        <w:t>**</w:t>
      </w:r>
      <w:r w:rsidRPr="00021E5D">
        <w:t xml:space="preserve"> (</w:t>
      </w:r>
      <w:r w:rsidR="008668BA" w:rsidRPr="00021E5D">
        <w:rPr>
          <w:lang w:val="en-US"/>
        </w:rPr>
        <w:t>VR</w:t>
      </w:r>
      <w:r w:rsidRPr="00021E5D">
        <w:t>D)</w:t>
      </w:r>
    </w:p>
    <w:p w:rsidR="0058682B" w:rsidRPr="00021E5D" w:rsidRDefault="0058682B" w:rsidP="00131E36">
      <w:pPr>
        <w:pStyle w:val="a5"/>
        <w:numPr>
          <w:ilvl w:val="1"/>
          <w:numId w:val="5"/>
        </w:numPr>
        <w:spacing w:before="0" w:after="0"/>
      </w:pPr>
      <w:r w:rsidRPr="00021E5D">
        <w:t>Леналидомид</w:t>
      </w:r>
      <w:r w:rsidR="002A14A3" w:rsidRPr="00021E5D">
        <w:t>**</w:t>
      </w:r>
      <w:r w:rsidRPr="00021E5D">
        <w:t>/доксорубицин</w:t>
      </w:r>
      <w:r w:rsidR="002A14A3" w:rsidRPr="00021E5D">
        <w:t>**</w:t>
      </w:r>
      <w:r w:rsidRPr="00021E5D">
        <w:t>/дексаметазон</w:t>
      </w:r>
      <w:r w:rsidR="002A14A3" w:rsidRPr="00021E5D">
        <w:t>**</w:t>
      </w:r>
      <w:r w:rsidRPr="00021E5D">
        <w:t xml:space="preserve"> (RAD)</w:t>
      </w:r>
    </w:p>
    <w:p w:rsidR="0058682B" w:rsidRPr="00021E5D" w:rsidRDefault="0058682B" w:rsidP="00131E36">
      <w:pPr>
        <w:pStyle w:val="a5"/>
        <w:numPr>
          <w:ilvl w:val="1"/>
          <w:numId w:val="5"/>
        </w:numPr>
        <w:spacing w:before="0" w:after="0"/>
      </w:pPr>
      <w:r w:rsidRPr="00021E5D">
        <w:t>Леналидомид</w:t>
      </w:r>
      <w:r w:rsidR="002A14A3" w:rsidRPr="00021E5D">
        <w:t>**</w:t>
      </w:r>
      <w:r w:rsidRPr="00021E5D">
        <w:t>/циклофосфа</w:t>
      </w:r>
      <w:r w:rsidR="00CD48C7" w:rsidRPr="00021E5D">
        <w:t>мид</w:t>
      </w:r>
      <w:r w:rsidR="002A14A3" w:rsidRPr="00021E5D">
        <w:t>**</w:t>
      </w:r>
      <w:r w:rsidRPr="00021E5D">
        <w:t>/дексаметазон</w:t>
      </w:r>
      <w:r w:rsidR="002A14A3" w:rsidRPr="00021E5D">
        <w:t>**</w:t>
      </w:r>
      <w:r w:rsidRPr="00021E5D">
        <w:t xml:space="preserve"> (RCD)</w:t>
      </w:r>
    </w:p>
    <w:p w:rsidR="00A625FE" w:rsidRPr="00021E5D" w:rsidRDefault="0058682B" w:rsidP="00131E36">
      <w:pPr>
        <w:pStyle w:val="a5"/>
        <w:numPr>
          <w:ilvl w:val="1"/>
          <w:numId w:val="5"/>
        </w:numPr>
        <w:spacing w:before="0" w:after="0"/>
      </w:pPr>
      <w:r w:rsidRPr="00021E5D">
        <w:t>Леналидомид</w:t>
      </w:r>
      <w:r w:rsidR="002A14A3" w:rsidRPr="00021E5D">
        <w:t>**</w:t>
      </w:r>
      <w:r w:rsidRPr="00021E5D">
        <w:t>/</w:t>
      </w:r>
      <w:r w:rsidR="00CD48C7" w:rsidRPr="00021E5D">
        <w:t>циклофосфамид</w:t>
      </w:r>
      <w:r w:rsidR="002A14A3" w:rsidRPr="00021E5D">
        <w:t>**</w:t>
      </w:r>
      <w:r w:rsidRPr="00021E5D">
        <w:t>/преднизолон</w:t>
      </w:r>
      <w:r w:rsidR="002A14A3" w:rsidRPr="00021E5D">
        <w:t>**</w:t>
      </w:r>
      <w:r w:rsidRPr="001E16F8">
        <w:t xml:space="preserve"> (RCP)</w:t>
      </w:r>
      <w:r w:rsidR="00021E5D" w:rsidRPr="00D62DF3">
        <w:t xml:space="preserve"> </w:t>
      </w:r>
      <w:r w:rsidR="00A625FE" w:rsidRPr="00021E5D">
        <w:t xml:space="preserve">. </w:t>
      </w:r>
    </w:p>
    <w:p w:rsidR="00A625FE" w:rsidRPr="00912FAC" w:rsidRDefault="00A625FE" w:rsidP="00131E36">
      <w:pPr>
        <w:spacing w:before="0" w:after="0"/>
        <w:ind w:left="709"/>
        <w:contextualSpacing/>
        <w:rPr>
          <w:b/>
        </w:rPr>
      </w:pPr>
      <w:r w:rsidRPr="001E16F8">
        <w:rPr>
          <w:b/>
        </w:rPr>
        <w:t>Уровень уб</w:t>
      </w:r>
      <w:r w:rsidRPr="00021E5D">
        <w:rPr>
          <w:b/>
        </w:rPr>
        <w:t>едительности рекомендаций</w:t>
      </w:r>
      <w:r w:rsidR="003C7967" w:rsidRPr="00021E5D">
        <w:rPr>
          <w:b/>
        </w:rPr>
        <w:t xml:space="preserve"> </w:t>
      </w:r>
      <w:r w:rsidR="008668BA" w:rsidRPr="00021E5D">
        <w:rPr>
          <w:b/>
        </w:rPr>
        <w:t xml:space="preserve">− </w:t>
      </w:r>
      <w:r w:rsidR="0035490D" w:rsidRPr="00021E5D">
        <w:rPr>
          <w:b/>
          <w:lang w:val="en-US"/>
        </w:rPr>
        <w:t>C</w:t>
      </w:r>
      <w:r w:rsidR="0035490D" w:rsidRPr="00021E5D">
        <w:rPr>
          <w:b/>
        </w:rPr>
        <w:t xml:space="preserve"> </w:t>
      </w:r>
      <w:r w:rsidRPr="00021E5D">
        <w:rPr>
          <w:b/>
        </w:rPr>
        <w:t>(уровень достоверности доказательств</w:t>
      </w:r>
      <w:r w:rsidR="00AC286C" w:rsidRPr="00021E5D">
        <w:rPr>
          <w:b/>
        </w:rPr>
        <w:t xml:space="preserve"> </w:t>
      </w:r>
      <w:r w:rsidR="008668BA" w:rsidRPr="00021E5D">
        <w:rPr>
          <w:b/>
        </w:rPr>
        <w:t xml:space="preserve">− </w:t>
      </w:r>
      <w:r w:rsidR="005B2EF9" w:rsidRPr="00021E5D">
        <w:rPr>
          <w:b/>
        </w:rPr>
        <w:t>5</w:t>
      </w:r>
      <w:r w:rsidRPr="00021E5D">
        <w:rPr>
          <w:b/>
        </w:rPr>
        <w:t>)</w:t>
      </w:r>
    </w:p>
    <w:p w:rsidR="0076197D" w:rsidRDefault="00A625FE" w:rsidP="00131E36">
      <w:pPr>
        <w:spacing w:before="0" w:after="0"/>
        <w:ind w:left="709"/>
        <w:contextualSpacing/>
        <w:rPr>
          <w:i/>
        </w:rPr>
      </w:pPr>
      <w:r w:rsidRPr="00912FAC">
        <w:rPr>
          <w:b/>
        </w:rPr>
        <w:t xml:space="preserve">Комментарий: </w:t>
      </w:r>
      <w:r w:rsidR="00632333" w:rsidRPr="0076197D">
        <w:rPr>
          <w:i/>
        </w:rPr>
        <w:t xml:space="preserve">количество </w:t>
      </w:r>
      <w:r w:rsidR="0076197D" w:rsidRPr="0076197D">
        <w:rPr>
          <w:i/>
        </w:rPr>
        <w:t>курсов индукционной терапии определяется противоопухолевым ответом на лечение и согласовывается с трансплантационным центром. Поскольку леналидомид</w:t>
      </w:r>
      <w:r w:rsidR="00D20FB3">
        <w:rPr>
          <w:i/>
        </w:rPr>
        <w:t>**</w:t>
      </w:r>
      <w:r w:rsidR="0076197D" w:rsidRPr="0076197D">
        <w:rPr>
          <w:i/>
        </w:rPr>
        <w:t xml:space="preserve"> обладает </w:t>
      </w:r>
      <w:r w:rsidR="0076197D" w:rsidRPr="0076197D">
        <w:rPr>
          <w:i/>
        </w:rPr>
        <w:lastRenderedPageBreak/>
        <w:t>миелосупрессивным эффектом, мобилизацию и сбор ауто</w:t>
      </w:r>
      <w:r w:rsidR="00746015">
        <w:rPr>
          <w:i/>
        </w:rPr>
        <w:t xml:space="preserve">-ТГСК </w:t>
      </w:r>
      <w:r w:rsidR="0076197D" w:rsidRPr="0076197D">
        <w:rPr>
          <w:i/>
        </w:rPr>
        <w:t>целесообразно выполнять после 4-го леналидомидсодержащего курса.</w:t>
      </w:r>
    </w:p>
    <w:p w:rsidR="00BF629F" w:rsidRPr="00BE169C" w:rsidRDefault="003C7967" w:rsidP="00131E36">
      <w:pPr>
        <w:pStyle w:val="a5"/>
        <w:numPr>
          <w:ilvl w:val="0"/>
          <w:numId w:val="5"/>
        </w:numPr>
        <w:spacing w:before="0" w:after="0"/>
        <w:ind w:left="709"/>
        <w:rPr>
          <w:b/>
        </w:rPr>
      </w:pPr>
      <w:r>
        <w:t>Пациентам</w:t>
      </w:r>
      <w:r w:rsidR="00BF629F" w:rsidRPr="00BE169C">
        <w:t xml:space="preserve"> с впервые выявленной ММ в возрасте до 65</w:t>
      </w:r>
      <w:r w:rsidR="003A08CA">
        <w:t xml:space="preserve"> лет</w:t>
      </w:r>
      <w:r w:rsidR="00BF629F" w:rsidRPr="00BE169C">
        <w:t xml:space="preserve">, а также пациентам </w:t>
      </w:r>
      <w:r w:rsidR="00BF629F" w:rsidRPr="009D3B20">
        <w:t>65</w:t>
      </w:r>
      <w:r w:rsidR="00A619A4">
        <w:t>−</w:t>
      </w:r>
      <w:r w:rsidR="00BF629F" w:rsidRPr="009D3B20">
        <w:t>70</w:t>
      </w:r>
      <w:r w:rsidR="00A619A4">
        <w:t> </w:t>
      </w:r>
      <w:r w:rsidR="00BF629F" w:rsidRPr="009D3B20">
        <w:t>лет с хорошим соматическим статусом</w:t>
      </w:r>
      <w:r w:rsidR="00BF629F" w:rsidRPr="00BE169C">
        <w:t xml:space="preserve"> без тяжелых сопутствующих заболеваний, которым планируется консолидация ауто</w:t>
      </w:r>
      <w:r w:rsidR="00267DE2">
        <w:t>-</w:t>
      </w:r>
      <w:r w:rsidR="00BF629F" w:rsidRPr="00BE169C">
        <w:t xml:space="preserve">ТГСК, в качестве индукционной терапии </w:t>
      </w:r>
      <w:r w:rsidR="00BF629F" w:rsidRPr="00BE169C">
        <w:rPr>
          <w:b/>
        </w:rPr>
        <w:t xml:space="preserve">не рекомендуется </w:t>
      </w:r>
      <w:r w:rsidR="00BF629F" w:rsidRPr="00BE169C">
        <w:t>применять схемы терапии, включающие мелфалан</w:t>
      </w:r>
      <w:r>
        <w:t>**</w:t>
      </w:r>
      <w:r w:rsidR="00632333" w:rsidRPr="00632333">
        <w:t xml:space="preserve"> </w:t>
      </w:r>
      <w:r w:rsidR="00032CFB">
        <w:t xml:space="preserve">(описание режимов – см. приложение </w:t>
      </w:r>
      <w:r w:rsidR="00C812D6">
        <w:t>А3.1</w:t>
      </w:r>
      <w:r w:rsidR="00A619A4">
        <w:t>.</w:t>
      </w:r>
      <w:r w:rsidR="00032CFB">
        <w:t>)</w:t>
      </w:r>
      <w:r w:rsidR="00632333" w:rsidRPr="00632333">
        <w:t xml:space="preserve"> </w:t>
      </w:r>
      <w:r w:rsidR="00A96FB6">
        <w:fldChar w:fldCharType="begin" w:fldLock="1"/>
      </w:r>
      <w:r w:rsidR="00F74B6B">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миелома","type":"chapter"},"uris":["http://www.mendeley.com/documents/?uuid=74f72d23-d025-4daa-a02d-40d14fc77cc4"]},{"id":"ITEM-2","itemData":{"DOI":"10.2147/CPAA.S6258","ISSN":"1179-1438","PMID":"22291488","abstract":"Autologous stem cell transplantation is the preferred treatment option for younger patients with symptomatic plasma cell myeloma. Most patients with newly diagnosed plasma cell myeloma receive 3-4 cycles of induction chemotherapy to achieve a level of disease control before proceeding to stem cell transplant. The ideal induction regimen for transplant-eligible patients shall allow more patients to proceed with transplant, rapidly and effectively control the disease, reverse disease-related complications, avoid early death, and is associated with minimal acute and long-term toxicities. Because of the concerns of potential damages to hematopoietic stem cells, alkylating agent regimens, specifically melphalan, are usually avoided for induction in transplant-eligible patients. Before the advance of immunomodulatory agents (IMiD) and proteasome inhibitors, the combination of vincristine, adriamycin, and dexamethasone (VAD) and variants were the most commonly used induction regimens. Recent reports as discussed in this review suggests that VAD is no longer the induction chemotherapy of choice for transplant eligible patients. Newer regimens incorporating IMiD and/or proteasome inhibitor into the induction regimen improve response rates and progression-free survival before and after the transplant and are evolving as the treatment of choice. Here, we review the available data on these newer induction regimens and to evaluate the potential impacts on the patient outcomes.","author":[{"dropping-particle":"","family":"Fung","given":"Henry C","non-dropping-particle":"","parse-names":false,"suffix":""},{"dropping-particle":"","family":"Nathan","given":"Sunita","non-dropping-particle":"","parse-names":false,"suffix":""},{"dropping-particle":"","family":"Maciejewski","given":"John J","non-dropping-particle":"","parse-names":false,"suffix":""}],"container-title":"Clinical pharmacology : advances and applications","id":"ITEM-2","issued":{"date-parts":[["2010"]]},"page":"71-5","title":"Induction chemotherapy before autologous stem cell transplantation for symptomatic plasma cell myeloma - does it matter?","type":"article-journal","volume":"2"},"uris":["http://www.mendeley.com/documents/?uuid=39ef748f-71f6-33e7-8124-5b96e5eda7d5"]}],"mendeley":{"formattedCitation":"[1,43]","plainTextFormattedCitation":"[1,43]","previouslyFormattedCitation":"[1,43]"},"properties":{"noteIndex":0},"schema":"https://github.com/citation-style-language/schema/raw/master/csl-citation.json"}</w:instrText>
      </w:r>
      <w:r w:rsidR="00A96FB6">
        <w:fldChar w:fldCharType="separate"/>
      </w:r>
      <w:r w:rsidR="00705691" w:rsidRPr="00705691">
        <w:rPr>
          <w:noProof/>
        </w:rPr>
        <w:t>[1,43]</w:t>
      </w:r>
      <w:r w:rsidR="00A96FB6">
        <w:fldChar w:fldCharType="end"/>
      </w:r>
      <w:r w:rsidR="00BF629F" w:rsidRPr="00BE169C">
        <w:t>.</w:t>
      </w:r>
    </w:p>
    <w:p w:rsidR="00BF629F" w:rsidRPr="00BE169C" w:rsidRDefault="00BF629F" w:rsidP="00131E36">
      <w:pPr>
        <w:spacing w:before="0" w:after="0"/>
        <w:ind w:left="709"/>
        <w:contextualSpacing/>
        <w:rPr>
          <w:b/>
        </w:rPr>
      </w:pPr>
      <w:r w:rsidRPr="00BE169C">
        <w:rPr>
          <w:b/>
        </w:rPr>
        <w:t xml:space="preserve">Уровень убедительности рекомендаций </w:t>
      </w:r>
      <w:r w:rsidR="00A619A4">
        <w:rPr>
          <w:b/>
        </w:rPr>
        <w:t xml:space="preserve">− </w:t>
      </w:r>
      <w:r w:rsidR="003C7967" w:rsidRPr="00BE169C">
        <w:rPr>
          <w:b/>
        </w:rPr>
        <w:t xml:space="preserve">С </w:t>
      </w:r>
      <w:r w:rsidRPr="00BE169C">
        <w:rPr>
          <w:b/>
        </w:rPr>
        <w:t>(уровень достоверности доказательств</w:t>
      </w:r>
      <w:r w:rsidR="00A619A4">
        <w:rPr>
          <w:b/>
        </w:rPr>
        <w:t xml:space="preserve"> − </w:t>
      </w:r>
      <w:r w:rsidR="003C7967" w:rsidRPr="00BE169C">
        <w:rPr>
          <w:b/>
        </w:rPr>
        <w:t>5</w:t>
      </w:r>
      <w:r w:rsidRPr="00BE169C">
        <w:rPr>
          <w:b/>
        </w:rPr>
        <w:t>)</w:t>
      </w:r>
    </w:p>
    <w:p w:rsidR="00BF629F" w:rsidRDefault="00BF629F" w:rsidP="00131E36">
      <w:pPr>
        <w:spacing w:before="0" w:after="0"/>
        <w:ind w:left="709"/>
        <w:contextualSpacing/>
        <w:rPr>
          <w:i/>
        </w:rPr>
      </w:pPr>
      <w:r w:rsidRPr="00E85278">
        <w:rPr>
          <w:b/>
        </w:rPr>
        <w:t>Комментарий:</w:t>
      </w:r>
      <w:r w:rsidR="00727909">
        <w:rPr>
          <w:b/>
        </w:rPr>
        <w:t xml:space="preserve"> </w:t>
      </w:r>
      <w:r w:rsidR="00A619A4">
        <w:rPr>
          <w:i/>
        </w:rPr>
        <w:t>м</w:t>
      </w:r>
      <w:r w:rsidRPr="00E85278">
        <w:rPr>
          <w:i/>
        </w:rPr>
        <w:t>елфалан</w:t>
      </w:r>
      <w:r w:rsidR="003C7967" w:rsidRPr="00E85278">
        <w:rPr>
          <w:i/>
        </w:rPr>
        <w:t>**</w:t>
      </w:r>
      <w:r w:rsidRPr="00E85278">
        <w:rPr>
          <w:i/>
        </w:rPr>
        <w:t xml:space="preserve"> обладает миелосупрессивным эффектом, что может оказывать негативное влияние на мобилизацию ауто</w:t>
      </w:r>
      <w:r w:rsidR="00A619A4">
        <w:rPr>
          <w:i/>
        </w:rPr>
        <w:t>-</w:t>
      </w:r>
      <w:r w:rsidR="003569D8">
        <w:rPr>
          <w:i/>
        </w:rPr>
        <w:t>ТГСК</w:t>
      </w:r>
      <w:r w:rsidRPr="00E85278">
        <w:rPr>
          <w:i/>
        </w:rPr>
        <w:t>.</w:t>
      </w:r>
    </w:p>
    <w:p w:rsidR="00EE2530" w:rsidRDefault="00EE2530" w:rsidP="00E36DFA">
      <w:pPr>
        <w:pStyle w:val="a3"/>
        <w:spacing w:before="0" w:beforeAutospacing="0" w:after="0" w:afterAutospacing="0" w:line="360" w:lineRule="auto"/>
        <w:ind w:firstLine="709"/>
        <w:outlineLvl w:val="1"/>
      </w:pPr>
      <w:bookmarkStart w:id="27" w:name="_Toc24826818"/>
      <w:r>
        <w:rPr>
          <w:rStyle w:val="ab"/>
          <w:u w:val="single"/>
        </w:rPr>
        <w:t>3.3.2</w:t>
      </w:r>
      <w:r w:rsidR="00971A8A">
        <w:rPr>
          <w:rStyle w:val="ab"/>
          <w:u w:val="single"/>
        </w:rPr>
        <w:t xml:space="preserve"> </w:t>
      </w:r>
      <w:r>
        <w:rPr>
          <w:rStyle w:val="ab"/>
          <w:u w:val="single"/>
        </w:rPr>
        <w:t>Трансплантационный этап</w:t>
      </w:r>
      <w:bookmarkEnd w:id="27"/>
    </w:p>
    <w:p w:rsidR="001F641D" w:rsidRDefault="003C7967" w:rsidP="00131E36">
      <w:pPr>
        <w:pStyle w:val="a5"/>
        <w:numPr>
          <w:ilvl w:val="0"/>
          <w:numId w:val="5"/>
        </w:numPr>
        <w:spacing w:before="0" w:after="0"/>
        <w:ind w:left="709" w:hanging="709"/>
      </w:pPr>
      <w:r>
        <w:t>Пациентам</w:t>
      </w:r>
      <w:r w:rsidR="001F641D">
        <w:t xml:space="preserve"> с впервые выявленной ММ в возрасте </w:t>
      </w:r>
      <w:r w:rsidR="001F641D" w:rsidRPr="001F641D">
        <w:t>до 65</w:t>
      </w:r>
      <w:r w:rsidR="00A473F6">
        <w:t xml:space="preserve"> лет</w:t>
      </w:r>
      <w:r w:rsidR="001F641D" w:rsidRPr="001F641D">
        <w:t>, а также пациентам 65</w:t>
      </w:r>
      <w:r w:rsidR="000A3700">
        <w:t>−</w:t>
      </w:r>
      <w:r w:rsidR="001F641D" w:rsidRPr="001F641D">
        <w:t>70</w:t>
      </w:r>
      <w:r w:rsidR="000A3700">
        <w:t> </w:t>
      </w:r>
      <w:r w:rsidR="001F641D" w:rsidRPr="001F641D">
        <w:t>лет с хорошим соматическим статусом без тяжелых сопутствующих заболе</w:t>
      </w:r>
      <w:r w:rsidR="00624D3B">
        <w:t xml:space="preserve">ваний, </w:t>
      </w:r>
      <w:r w:rsidR="00624D3B" w:rsidRPr="00BE169C">
        <w:t xml:space="preserve">достигшим </w:t>
      </w:r>
      <w:r w:rsidR="00E5500D">
        <w:t>ПР</w:t>
      </w:r>
      <w:r w:rsidR="00624D3B" w:rsidRPr="00BE169C">
        <w:t xml:space="preserve"> или</w:t>
      </w:r>
      <w:r w:rsidR="001F641D" w:rsidRPr="00BE169C">
        <w:t xml:space="preserve"> </w:t>
      </w:r>
      <w:r w:rsidR="00E5500D">
        <w:t>ЧР</w:t>
      </w:r>
      <w:r w:rsidR="001F641D" w:rsidRPr="00BE169C">
        <w:t xml:space="preserve"> после индукционной терапии,</w:t>
      </w:r>
      <w:r w:rsidR="006D0F6C">
        <w:t xml:space="preserve"> </w:t>
      </w:r>
      <w:r w:rsidR="00FF0C02">
        <w:rPr>
          <w:b/>
        </w:rPr>
        <w:t>рекомендуется</w:t>
      </w:r>
      <w:r w:rsidR="001F641D">
        <w:t xml:space="preserve"> выполнение мобилизации и сбора </w:t>
      </w:r>
      <w:r w:rsidR="00E5500D">
        <w:t>ГСК</w:t>
      </w:r>
      <w:r w:rsidR="001F641D">
        <w:t xml:space="preserve"> крови</w:t>
      </w:r>
      <w:r w:rsidR="006D0B51">
        <w:t xml:space="preserve"> </w:t>
      </w:r>
      <w:r w:rsidR="00632333">
        <w:t>под лабораторным контролем количества стволовых кроветворных клеток в периферической крови и аферезном продукте методом проточной цитометрии</w:t>
      </w:r>
      <w:r w:rsidR="00021E5D" w:rsidRPr="00D62DF3">
        <w:t xml:space="preserve"> </w:t>
      </w:r>
      <w:r w:rsidR="00021E5D">
        <w:t>для последующего выполнения аутоТГСК</w:t>
      </w:r>
      <w:r w:rsidR="00632333" w:rsidRPr="002905FE">
        <w:t xml:space="preserve"> </w:t>
      </w:r>
      <w:r w:rsidR="00A96FB6" w:rsidRPr="00021E5D">
        <w:fldChar w:fldCharType="begin" w:fldLock="1"/>
      </w:r>
      <w:r w:rsidR="00021E5D">
        <w:instrText>ADDIN CSL_CITATION {"citationItems":[{"id":"ITEM-1","itemData":{"DOI":"10.1080/10428194.2018.1543874","ISSN":"10292403","abstract":"To evaluate the role of high-dose melphalan plus autologous stem-cell transplantation (ASCT) as consolidation therapy for patients with newly diagnosed multiple myeloma (NDMM) in the era of novel agents, we undertook this meta-analysis. Medline, Embase, the Cochrane controlled trials register, the SCI, ASH, EHA, and ASCO were searched for clinical trials including high-dose chemotherapy plus ASCT for patients with NDMM. Finally, we identified four RCTs of ASCT versus novel agents based consolidations, and 10 single-arm prospective trials of ASCT alone. Pooled analysis indicated that response quality improved further after ASCT in the era of novel agents (&gt;=CR rates of 13% pre-ASCT versus 29% post-ASCT, p =.003). When compared to novel agents containing consolidation regimens, high-dose chemotherapy plus ASCT significantly improved progression-free survival (PFS) (HR =0.56, p &lt;.001). No significant difference in overall survival (OS) was found between them (HR =0.66, p =.22). Of note, subgroup analysis indicated that ASCT could significantly improve OS (HR =0.49, p =.0004) when compared to alkylating agent-based regimens plus lenalidomide consolidation. In summary, response quality and PFS improved further over ASCT in the era of novel agents. ASCT could improve survival than alkylating agent-based regimens plus lenalidomide consolidations for patients with NDMM.Copyright © 2018, © 2018 Informa UK Limited, trading as Taylor &amp; Francis Group.","author":[{"dropping-particle":"","family":"Su","given":"Baohua","non-dropping-particle":"","parse-names":false,"suffix":""},{"dropping-particle":"","family":"Zhu","given":"Xu","non-dropping-particle":"","parse-names":false,"suffix":""},{"dropping-particle":"","family":"Jiang","given":"Yina","non-dropping-particle":"","parse-names":false,"suffix":""},{"dropping-particle":"","family":"Wang","given":"Lida","non-dropping-particle":"","parse-names":false,"suffix":""},{"dropping-particle":"","family":"Zhao","given":"Ningning","non-dropping-particle":"","parse-names":false,"suffix":""},{"dropping-particle":"","family":"Ran","given":"Xuehong","non-dropping-particle":"","parse-names":false,"suffix":""},{"dropping-particle":"","family":"Zheng","given":"Xiaobin","non-dropping-particle":"","parse-names":false,"suffix":""},{"dropping-particle":"","family":"Guo","given":"Hui","non-dropping-particle":"","parse-names":false,"suffix":""}],"container-title":"Leukemia and Lymphoma","id":"ITEM-1","issued":{"date-parts":[["2018"]]},"publisher":"Taylor and Francis Ltd","title":"A meta-analysis of autologous transplantation for newly diagnosed multiple myeloma in the era of novel agents","type":"article-journal"},"uris":["http://www.mendeley.com/documents/?uuid=a763b0b9-22ac-33ee-8ac3-1da970da9202"]},{"id":"ITEM-2","itemData":{"DOI":"10.1001/jamaoncol.2017.4600","ISSN":"23742445","abstract":"Importance The role of high-dose therapy with melphalan followed by autologous stem cell transplant (HDT/ASCT) in patients with multiple myeloma continues to be debated in the context of novel agent induction. Objective To perform a systematic review, conventional meta-analysis, and network meta-analysis of all phase 3 randomized clinical trials (RCTs) evaluating the role of HDT/ASCT. Data Sources We performed a systematic literature search of Cochrane Central, MEDLINE, and Scopus from January 2000 through April 2017 and relevant annual meeting abstracts from January 2014 to December 2016. The following search terms were used: \"myeloma\" combined with \"autologous,\" \"transplant,\" \"myeloablative,\" or \"stem cell.\" Study Selection Phase 3 RCTs comparing HDT/ASCT with standard-dose therapy (SDT) using novel agents were assessed. Studies comparing single HDT/ASCT with bortezomib, lenalidomide, and dexamethasone consolidation and tandem transplantation were included for network meta-analysis. Data Extraction And Synthesis For the random effects meta-analysis, we used hazard ratios (HRs) and corresponding 95% CIs. Main Outcomes and Measures The primary outcome was progression-free survival (PFS). Overall survival (OS), complete response, and treatment-related mortality were secondary outcomes. Results A total of 4 RCTs (2421 patients) for conventional meta-analysis and 5 RCTs (3171 patients) for network meta-analysis were selected. The combined odds for complete response were 1.27 (95% CI, 0.97-1.65; P = .07) with HDT/ASCT when compared with SDT. The combined HR for PFS was 0.55 (95% CI, 0.41-0.74; P &lt; .001) and 0.76 for OS (95% CI, 0.42-1.36; P = .20) in favor of HDT. Meta-regression showed that longer follow-up was associated with superior PFS (HR/mo, 0.98; 95% CI, 0.96-0.99; P = .03) and OS (HR/mo, 0.90; 95% CI, 0.84-0.96; P = .002). For PFS, tandem HDT/ASCT had the most favorable HR (0.49; 95% CI, 0.37-0.65) followed by single HDT/ASCT with bortezomib, lenalidomide, and dexamethasone (HR, 0.53; 95% CI, 0.37-0.76) and single HDT/ASCT alone (HR, 0.68; 95% CI, 0.53-0.87) compared with SDT. For OS, none of the HDT/ASCT-based approaches had a significant effect on survival. Treatment-related mortality with HDT/ASCT was minimal (&lt;1%). Conclusions and Relevance The results of the conventional meta-analysis and network meta-analysis of all the phase 3 RCTs showed that HDT/ASCT was associated with superior PFS with minimal toxic effects compared with SDT. Both tandem…","author":[{"dropping-particle":"","family":"Dhakal","given":"Binod","non-dropping-particle":"","parse-names":false,"suffix":""},{"dropping-particle":"","family":"Szabo","given":"Aniko","non-dropping-particle":"","parse-names":false,"suffix":""},{"dropping-particle":"","family":"Chhabra","given":"Saurabh","non-dropping-particle":"","parse-names":false,"suffix":""},{"dropping-particle":"","family":"Hamadani","given":"Mehdi","non-dropping-particle":"","parse-names":false,"suffix":""},{"dropping-particle":"","family":"D'Souza","given":"Anita","non-dropping-particle":"","parse-names":false,"suffix":""},{"dropping-particle":"","family":"Usmani","given":"Saad Z.","non-dropping-particle":"","parse-names":false,"suffix":""},{"dropping-particle":"","family":"Sieracki","given":"Rita","non-dropping-particle":"","parse-names":false,"suffix":""},{"dropping-particle":"","family":"Gyawali","given":"Bishal","non-dropping-particle":"","parse-names":false,"suffix":""},{"dropping-particle":"","family":"Jackson","given":"Jeffrey L.","non-dropping-particle":"","parse-names":false,"suffix":""},{"dropping-particle":"","family":"Asimakopoulos","given":"Fotis","non-dropping-particle":"","parse-names":false,"suffix":""},{"dropping-particle":"","family":"Hari","given":"Parameswaran N.","non-dropping-particle":"","parse-names":false,"suffix":""}],"container-title":"JAMA Oncology","id":"ITEM-2","issue":"3","issued":{"date-parts":[["2018","3","1"]]},"page":"343-350","publisher":"American Medical Association","title":"Autologous transplantation for newly diagnosed multiple myeloma in the era of novel agent induction a systematic review and meta-analysis","type":"article-journal","volume":"4"},"uris":["http://www.mendeley.com/documents/?uuid=e10abcf3-d81f-385d-80c0-5398aae26e72"]},{"id":"ITEM-3","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Савченко.","id":"ITEM-3","issued":{"date-parts":[["2018"]]},"page":"213-241","publisher":"Москва","title":"Множественная миелома","type":"chapter"},"uris":["http://www.mendeley.com/documents/?uuid=74f72d23-d025-4daa-a02d-40d14fc77cc4"]}],"mendeley":{"formattedCitation":"[1,36,37]","plainTextFormattedCitation":"[1,36,37]","previouslyFormattedCitation":"[1,36,37]"},"properties":{"noteIndex":0},"schema":"https://github.com/citation-style-language/schema/raw/master/csl-citation.json"}</w:instrText>
      </w:r>
      <w:r w:rsidR="00A96FB6" w:rsidRPr="00021E5D">
        <w:fldChar w:fldCharType="separate"/>
      </w:r>
      <w:r w:rsidR="00021E5D" w:rsidRPr="00D62DF3">
        <w:rPr>
          <w:noProof/>
        </w:rPr>
        <w:t>[1,36,37]</w:t>
      </w:r>
      <w:r w:rsidR="00A96FB6" w:rsidRPr="00021E5D">
        <w:fldChar w:fldCharType="end"/>
      </w:r>
      <w:r w:rsidR="001F641D" w:rsidRPr="00021E5D">
        <w:t>.</w:t>
      </w:r>
      <w:r w:rsidR="001F641D">
        <w:t xml:space="preserve"> </w:t>
      </w:r>
      <w:r w:rsidR="006D0B51">
        <w:t xml:space="preserve"> </w:t>
      </w:r>
    </w:p>
    <w:p w:rsidR="001F641D" w:rsidRPr="00912FAC" w:rsidRDefault="001F641D" w:rsidP="00131E36">
      <w:pPr>
        <w:spacing w:before="0" w:after="0"/>
        <w:ind w:left="709"/>
        <w:contextualSpacing/>
        <w:rPr>
          <w:b/>
        </w:rPr>
      </w:pPr>
      <w:r w:rsidRPr="00912FAC">
        <w:rPr>
          <w:b/>
        </w:rPr>
        <w:t xml:space="preserve">Уровень убедительности рекомендаций </w:t>
      </w:r>
      <w:r w:rsidR="00E5500D">
        <w:rPr>
          <w:b/>
        </w:rPr>
        <w:t xml:space="preserve">− </w:t>
      </w:r>
      <w:r w:rsidR="00BF55DF">
        <w:rPr>
          <w:b/>
        </w:rPr>
        <w:t>С</w:t>
      </w:r>
      <w:r w:rsidR="00BF55DF" w:rsidRPr="00632333">
        <w:rPr>
          <w:b/>
        </w:rPr>
        <w:t xml:space="preserve"> </w:t>
      </w:r>
      <w:r w:rsidRPr="00912FAC">
        <w:rPr>
          <w:b/>
        </w:rPr>
        <w:t>(уровень достоверности доказательств</w:t>
      </w:r>
      <w:r w:rsidR="00632333" w:rsidRPr="00632333">
        <w:rPr>
          <w:b/>
        </w:rPr>
        <w:t xml:space="preserve"> </w:t>
      </w:r>
      <w:r w:rsidR="00E5500D">
        <w:rPr>
          <w:b/>
        </w:rPr>
        <w:t xml:space="preserve">− </w:t>
      </w:r>
      <w:r w:rsidR="00BF55DF">
        <w:rPr>
          <w:b/>
        </w:rPr>
        <w:t>5</w:t>
      </w:r>
      <w:r w:rsidRPr="00912FAC">
        <w:rPr>
          <w:b/>
        </w:rPr>
        <w:t>)</w:t>
      </w:r>
    </w:p>
    <w:p w:rsidR="00165A1B" w:rsidRDefault="001F641D" w:rsidP="00131E36">
      <w:pPr>
        <w:spacing w:before="0" w:after="0"/>
        <w:ind w:left="709"/>
        <w:contextualSpacing/>
        <w:rPr>
          <w:i/>
        </w:rPr>
      </w:pPr>
      <w:r w:rsidRPr="00912FAC">
        <w:rPr>
          <w:b/>
        </w:rPr>
        <w:t xml:space="preserve">Комментарий: </w:t>
      </w:r>
      <w:r w:rsidR="00E5500D">
        <w:rPr>
          <w:i/>
        </w:rPr>
        <w:t>н</w:t>
      </w:r>
      <w:r w:rsidRPr="00321B75">
        <w:rPr>
          <w:i/>
        </w:rPr>
        <w:t>аиболее часто используемым режимом мобилизации является сочетание химиотерапевтических препаратов (чаще всего циклофосфамида</w:t>
      </w:r>
      <w:r w:rsidR="006E7B15">
        <w:rPr>
          <w:i/>
        </w:rPr>
        <w:t>**</w:t>
      </w:r>
      <w:r w:rsidRPr="00321B75">
        <w:rPr>
          <w:i/>
        </w:rPr>
        <w:t xml:space="preserve"> в дозе 2</w:t>
      </w:r>
      <w:r w:rsidR="00E5500D">
        <w:rPr>
          <w:i/>
        </w:rPr>
        <w:t>−</w:t>
      </w:r>
      <w:r w:rsidRPr="00321B75">
        <w:rPr>
          <w:i/>
        </w:rPr>
        <w:t>4 г/м</w:t>
      </w:r>
      <w:r w:rsidRPr="00321B75">
        <w:rPr>
          <w:i/>
          <w:vertAlign w:val="superscript"/>
        </w:rPr>
        <w:t>2</w:t>
      </w:r>
      <w:r w:rsidR="00EE48C6">
        <w:rPr>
          <w:i/>
        </w:rPr>
        <w:t xml:space="preserve"> за 4 дня до начала терапии Г-КСФ</w:t>
      </w:r>
      <w:r w:rsidRPr="00321B75">
        <w:rPr>
          <w:i/>
        </w:rPr>
        <w:t xml:space="preserve"> и </w:t>
      </w:r>
      <w:r w:rsidR="007B54A0" w:rsidRPr="00EE48C6">
        <w:rPr>
          <w:i/>
        </w:rPr>
        <w:t xml:space="preserve">рекомбинантного человеческого </w:t>
      </w:r>
      <w:r w:rsidRPr="00EE48C6">
        <w:rPr>
          <w:i/>
        </w:rPr>
        <w:t>гранулоцитарного колониестимулирующего фактора (</w:t>
      </w:r>
      <w:r w:rsidR="007B3900" w:rsidRPr="00EE48C6">
        <w:rPr>
          <w:i/>
        </w:rPr>
        <w:t>#</w:t>
      </w:r>
      <w:r w:rsidRPr="00EE48C6">
        <w:rPr>
          <w:i/>
        </w:rPr>
        <w:t xml:space="preserve">Г-КСФ) </w:t>
      </w:r>
      <w:r w:rsidR="005049BE" w:rsidRPr="00EE48C6">
        <w:rPr>
          <w:i/>
        </w:rPr>
        <w:t xml:space="preserve">подкожно </w:t>
      </w:r>
      <w:r w:rsidRPr="00EE48C6">
        <w:rPr>
          <w:i/>
        </w:rPr>
        <w:t>в дозе 5 мкг/кг/сут</w:t>
      </w:r>
      <w:r w:rsidR="001A740A" w:rsidRPr="00EE48C6">
        <w:rPr>
          <w:i/>
        </w:rPr>
        <w:t xml:space="preserve"> </w:t>
      </w:r>
      <w:r w:rsidR="001A740A" w:rsidRPr="00EE48C6">
        <w:rPr>
          <w:i/>
        </w:rPr>
        <w:fldChar w:fldCharType="begin" w:fldLock="1"/>
      </w:r>
      <w:r w:rsidR="00F74B6B">
        <w:rPr>
          <w:i/>
        </w:rPr>
        <w:instrText>ADDIN CSL_CITATION {"citationItems":[{"id":"ITEM-1","itemData":{"DOI":"10.1002/jca.21360","ISSN":"10981101","abstract":"High-dose cyclophosphamide (Cy) is frequently employed for peripheral blood mobilization of hematopoietic stem cells before high-dose chemotherapy with autologous stem cell transplantation (ASCT) in multiple myeloma (MM). The benefit of mobilization with Cy over filgrastim (granulocyte colony-stimulating factor; G-CSF) alone is unclear. Between 2000 and 2008, 167 patients with newly diagnosed MM underwent single ASCT after melphalan conditioning at our institution. Seventy-three patients were mobilized with G-CSF alone, and 94 patients with Cy plus G-CSF (Cy+G-CSF). We retrospectively analyzed Cy's impact on both toxicity and efficacy. Mobilization efficiency was augmented by Cy; a mean total of 12 versus 5.8 × 10&lt;sup&gt;6&lt;/sup&gt; CD34+ cells/kg were collected from patients mobilized with Cy+G-CSF versus G-CSF, respectively, (P &lt; 0.01), over a mean of 1.6 versus 2.2 days of peripheral blood apheresis (p = 0.001). Mobilization-related toxicity was also, however, augmented by Cy; 14% of Cy+G-CSF patients were hospitalized because of complications versus none receiving G-CSF (P &lt; 0.0001). Toxicity, including death, related to ASCT was similar between cohorts. Regarding long-term outcomes, multivariate analysis revealed no difference for Cy+G-CSF versus G-CSF (hazard ratio 0.8 for event-free survival [95% confidence interval {CI} 0.57-1.25] and 0.96 for overall survival [95% CI 0.61-1.54]). In summary, we show that mobilization with Cy increases toxicity without positively impacting long-term outcomes in MM. Our findings place into question Cy's benefit as a routine component of stem cell mobilization regimens in MM. Randomized trials are needed to elucidate the risks and benefits of Cy more definitively.","author":[{"dropping-particle":"","family":"Tuchman","given":"Sascha A.","non-dropping-particle":"","parse-names":false,"suffix":""},{"dropping-particle":"","family":"Bacon","given":"Wendi A.","non-dropping-particle":"","parse-names":false,"suffix":""},{"dropping-particle":"","family":"Huang","given":"Li Wen","non-dropping-particle":"","parse-names":false,"suffix":""},{"dropping-particle":"","family":"Long","given":"Gwynn","non-dropping-particle":"","parse-names":false,"suffix":""},{"dropping-particle":"","family":"Rizzieri","given":"David","non-dropping-particle":"","parse-names":false,"suffix":""},{"dropping-particle":"","family":"Horwitz","given":"Mitchell","non-dropping-particle":"","parse-names":false,"suffix":""},{"dropping-particle":"","family":"Chute","given":"John P.","non-dropping-particle":"","parse-names":false,"suffix":""},{"dropping-particle":"","family":"Sullivan","given":"Keith","non-dropping-particle":"","parse-names":false,"suffix":""},{"dropping-particle":"","family":"Engemann","given":"Ashley Morris","non-dropping-particle":"","parse-names":false,"suffix":""},{"dropping-particle":"","family":"Yopp","given":"Amanda","non-dropping-particle":"","parse-names":false,"suffix":""},{"dropping-particle":"","family":"Li","given":"Zhiguo","non-dropping-particle":"","parse-names":false,"suffix":""},{"dropping-particle":"","family":"Corbet","given":"Kelly","non-dropping-particle":"","parse-names":false,"suffix":""},{"dropping-particle":"","family":"Chao","given":"Nelson","non-dropping-particle":"","parse-names":false,"suffix":""},{"dropping-particle":"","family":"Gasparetto","given":"Cristina","non-dropping-particle":"","parse-names":false,"suffix":""}],"container-title":"Journal of Clinical Apheresis","id":"ITEM-1","issue":"3","issued":{"date-parts":[["2015","6","1"]]},"page":"176-182","publisher":"Wiley-Liss Inc.","title":"Cyclophosphamide-based hematopoietic stem cell mobilization before autologous stem cell transplantation in newly diagnosed multiple myeloma","type":"article-journal","volume":"30"},"uris":["http://www.mendeley.com/documents/?uuid=7ab2027e-7a8d-3be6-bb8b-1854f8cab286"]}],"mendeley":{"formattedCitation":"[44]","plainTextFormattedCitation":"[44]","previouslyFormattedCitation":"[44]"},"properties":{"noteIndex":0},"schema":"https://github.com/citation-style-language/schema/raw/master/csl-citation.json"}</w:instrText>
      </w:r>
      <w:r w:rsidR="001A740A" w:rsidRPr="00EE48C6">
        <w:rPr>
          <w:i/>
        </w:rPr>
        <w:fldChar w:fldCharType="separate"/>
      </w:r>
      <w:r w:rsidR="00705691" w:rsidRPr="00705691">
        <w:rPr>
          <w:noProof/>
        </w:rPr>
        <w:t>[44]</w:t>
      </w:r>
      <w:r w:rsidR="001A740A" w:rsidRPr="00EE48C6">
        <w:rPr>
          <w:i/>
        </w:rPr>
        <w:fldChar w:fldCharType="end"/>
      </w:r>
      <w:r w:rsidRPr="00EE48C6">
        <w:rPr>
          <w:i/>
        </w:rPr>
        <w:t xml:space="preserve">. </w:t>
      </w:r>
      <w:r w:rsidR="007B3900" w:rsidRPr="00EE48C6">
        <w:rPr>
          <w:i/>
        </w:rPr>
        <w:t>#</w:t>
      </w:r>
      <w:r w:rsidRPr="00EE48C6">
        <w:rPr>
          <w:i/>
        </w:rPr>
        <w:t>Г-КСФ</w:t>
      </w:r>
      <w:r w:rsidR="00185CAE" w:rsidRPr="00EE48C6">
        <w:rPr>
          <w:i/>
        </w:rPr>
        <w:t xml:space="preserve"> может также</w:t>
      </w:r>
      <w:r w:rsidRPr="00EE48C6">
        <w:rPr>
          <w:i/>
        </w:rPr>
        <w:t xml:space="preserve"> применят</w:t>
      </w:r>
      <w:r w:rsidR="00185CAE" w:rsidRPr="00EE48C6">
        <w:rPr>
          <w:i/>
        </w:rPr>
        <w:t>ь</w:t>
      </w:r>
      <w:r w:rsidRPr="00EE48C6">
        <w:rPr>
          <w:i/>
        </w:rPr>
        <w:t>ся в монорежиме на фоне стабильного состояния кроветворения (</w:t>
      </w:r>
      <w:r w:rsidR="001D3DC1" w:rsidRPr="00EE48C6">
        <w:rPr>
          <w:i/>
        </w:rPr>
        <w:t xml:space="preserve">подкожно </w:t>
      </w:r>
      <w:r w:rsidRPr="00EE48C6">
        <w:rPr>
          <w:i/>
        </w:rPr>
        <w:t>в дозе 10 мкг/кг/сут</w:t>
      </w:r>
      <w:r w:rsidR="001D3DC1" w:rsidRPr="00EE48C6">
        <w:rPr>
          <w:i/>
        </w:rPr>
        <w:t xml:space="preserve"> до афереза</w:t>
      </w:r>
      <w:r w:rsidRPr="00EE48C6">
        <w:rPr>
          <w:i/>
        </w:rPr>
        <w:t>)</w:t>
      </w:r>
      <w:r w:rsidR="001D3DC1" w:rsidRPr="00EE48C6">
        <w:rPr>
          <w:i/>
        </w:rPr>
        <w:t xml:space="preserve"> </w:t>
      </w:r>
      <w:r w:rsidR="001D3DC1" w:rsidRPr="00EE48C6">
        <w:rPr>
          <w:i/>
        </w:rPr>
        <w:fldChar w:fldCharType="begin" w:fldLock="1"/>
      </w:r>
      <w:r w:rsidR="00F74B6B">
        <w:rPr>
          <w:i/>
        </w:rPr>
        <w:instrText>ADDIN CSL_CITATION {"citationItems":[{"id":"ITEM-1","itemData":{"DOI":"10.1007/978-1-61779-943-3_3","ISBN":"9781617799426","ISSN":"10643745","abstract":"Cytokine mobilized peripheral blood stem cells are the preferred source of stem cells in autologous stem cell transplantation and have virtually replaced bone marrow as the stem cell source. In recent years, a dramatic increase has been reported in the use of peripheral blood stem cells for allogeneic transplantation as well. The reason for this rise is that peripheral blood stem cell transplants when compared to bone marrow transplants are associated with a more rapid recovery of granulocytes and platelets after transplantation and a lower regimen-related and transplant-related mortality. Peripheral blood stem cells can be easily harvested on an outpatient basis without the need for general anesthesia. In most cases peripheral blood stem cells are collected after G-CSF administration. In this chapter we describe peripheral blood stem cell mobilization in autologous transplant patients and in allogeneic donors using G-CSF. © 2012 Springer Science+Business Media, LLC.","author":[{"dropping-particle":"","family":"Hosing","given":"Chitra","non-dropping-particle":"","parse-names":false,"suffix":""}],"container-title":"Methods in Molecular Biology","id":"ITEM-1","issued":{"date-parts":[["2012"]]},"page":"37-47","publisher":"Humana Press Inc.","title":"Hematopoietic stem cell mobilization with G-CSF","type":"article-journal","volume":"904"},"uris":["http://www.mendeley.com/documents/?uuid=a41d6b1f-a764-3765-bf65-42ba50016b31"]}],"mendeley":{"formattedCitation":"[45]","plainTextFormattedCitation":"[45]","previouslyFormattedCitation":"[45]"},"properties":{"noteIndex":0},"schema":"https://github.com/citation-style-language/schema/raw/master/csl-citation.json"}</w:instrText>
      </w:r>
      <w:r w:rsidR="001D3DC1" w:rsidRPr="00EE48C6">
        <w:rPr>
          <w:i/>
        </w:rPr>
        <w:fldChar w:fldCharType="separate"/>
      </w:r>
      <w:r w:rsidR="00705691" w:rsidRPr="00705691">
        <w:rPr>
          <w:noProof/>
        </w:rPr>
        <w:t>[45]</w:t>
      </w:r>
      <w:r w:rsidR="001D3DC1" w:rsidRPr="00EE48C6">
        <w:rPr>
          <w:i/>
        </w:rPr>
        <w:fldChar w:fldCharType="end"/>
      </w:r>
      <w:r w:rsidRPr="00EE48C6">
        <w:rPr>
          <w:i/>
        </w:rPr>
        <w:t>.</w:t>
      </w:r>
      <w:r w:rsidRPr="00321B75">
        <w:rPr>
          <w:i/>
        </w:rPr>
        <w:t xml:space="preserve"> При недостаточной эффективности мобилизации или при проведении ее повторно возможно включение в режим препарата плериксафор</w:t>
      </w:r>
      <w:r w:rsidR="003E3C97">
        <w:rPr>
          <w:i/>
        </w:rPr>
        <w:t xml:space="preserve"> – 0,24 мг/кг/сут подкожно за 6</w:t>
      </w:r>
      <w:r w:rsidR="005C44D0">
        <w:rPr>
          <w:i/>
        </w:rPr>
        <w:t>−</w:t>
      </w:r>
      <w:r w:rsidR="003E3C97">
        <w:rPr>
          <w:i/>
        </w:rPr>
        <w:t xml:space="preserve">11 ч </w:t>
      </w:r>
      <w:r w:rsidR="00165A1B">
        <w:rPr>
          <w:i/>
        </w:rPr>
        <w:t>до афереза, возможно прим</w:t>
      </w:r>
      <w:r w:rsidR="005C44D0">
        <w:rPr>
          <w:i/>
        </w:rPr>
        <w:t>енение плериксафора в течение 2−</w:t>
      </w:r>
      <w:r w:rsidR="00165A1B">
        <w:rPr>
          <w:i/>
        </w:rPr>
        <w:t>4 дней подряд (до 7 дней непрерывного применения).</w:t>
      </w:r>
    </w:p>
    <w:p w:rsidR="001F641D" w:rsidRDefault="001F641D" w:rsidP="00131E36">
      <w:pPr>
        <w:spacing w:before="0" w:after="0"/>
        <w:ind w:left="709"/>
        <w:contextualSpacing/>
        <w:rPr>
          <w:i/>
        </w:rPr>
      </w:pPr>
      <w:r>
        <w:rPr>
          <w:i/>
        </w:rPr>
        <w:t>При наличии возможности</w:t>
      </w:r>
      <w:r w:rsidRPr="00103994">
        <w:rPr>
          <w:i/>
        </w:rPr>
        <w:t xml:space="preserve"> рекомендует</w:t>
      </w:r>
      <w:r>
        <w:rPr>
          <w:i/>
        </w:rPr>
        <w:t>ся</w:t>
      </w:r>
      <w:r w:rsidRPr="00103994">
        <w:rPr>
          <w:i/>
        </w:rPr>
        <w:t xml:space="preserve"> собирать ауто</w:t>
      </w:r>
      <w:r w:rsidR="003569D8">
        <w:rPr>
          <w:i/>
        </w:rPr>
        <w:t>-ТГСК</w:t>
      </w:r>
      <w:r w:rsidRPr="00103994">
        <w:rPr>
          <w:i/>
        </w:rPr>
        <w:t xml:space="preserve"> в количестве, достаточном для выполнения двух трансплантаций.</w:t>
      </w:r>
    </w:p>
    <w:p w:rsidR="000B622E" w:rsidRPr="002905FE" w:rsidRDefault="000B622E" w:rsidP="00131E36">
      <w:pPr>
        <w:spacing w:before="0" w:after="0"/>
        <w:ind w:left="709"/>
        <w:contextualSpacing/>
        <w:rPr>
          <w:b/>
        </w:rPr>
      </w:pPr>
      <w:r w:rsidRPr="0076197D">
        <w:rPr>
          <w:i/>
        </w:rPr>
        <w:lastRenderedPageBreak/>
        <w:t>Поскольку леналидомид</w:t>
      </w:r>
      <w:r>
        <w:rPr>
          <w:i/>
        </w:rPr>
        <w:t>**</w:t>
      </w:r>
      <w:r w:rsidRPr="0076197D">
        <w:rPr>
          <w:i/>
        </w:rPr>
        <w:t xml:space="preserve"> обладает миелосупрессивным эффектом,</w:t>
      </w:r>
      <w:r w:rsidR="006D0F6C">
        <w:rPr>
          <w:i/>
        </w:rPr>
        <w:t xml:space="preserve"> </w:t>
      </w:r>
      <w:r>
        <w:rPr>
          <w:i/>
        </w:rPr>
        <w:t xml:space="preserve">в случае применения в индукционном этапе леналидомидсодержащей терапии </w:t>
      </w:r>
      <w:r w:rsidRPr="0076197D">
        <w:rPr>
          <w:i/>
        </w:rPr>
        <w:t xml:space="preserve">мобилизацию и сбор </w:t>
      </w:r>
      <w:r w:rsidR="003569D8" w:rsidRPr="003569D8">
        <w:rPr>
          <w:i/>
        </w:rPr>
        <w:t xml:space="preserve">ауто-ТГСК </w:t>
      </w:r>
      <w:r w:rsidRPr="0076197D">
        <w:rPr>
          <w:i/>
        </w:rPr>
        <w:t>целесообразно в</w:t>
      </w:r>
      <w:r w:rsidR="005C44D0">
        <w:rPr>
          <w:i/>
        </w:rPr>
        <w:t>ыполнять после 4-го леналидомид</w:t>
      </w:r>
      <w:r w:rsidRPr="0076197D">
        <w:rPr>
          <w:i/>
        </w:rPr>
        <w:t>содержащего курса.</w:t>
      </w:r>
    </w:p>
    <w:p w:rsidR="0076197D" w:rsidRPr="00EE48C6" w:rsidRDefault="003C7967" w:rsidP="003569D8">
      <w:pPr>
        <w:pStyle w:val="a5"/>
        <w:numPr>
          <w:ilvl w:val="0"/>
          <w:numId w:val="5"/>
        </w:numPr>
        <w:spacing w:before="0" w:after="0"/>
      </w:pPr>
      <w:r w:rsidRPr="00430246">
        <w:t>Пациентам</w:t>
      </w:r>
      <w:r w:rsidR="0076197D" w:rsidRPr="00430246">
        <w:t xml:space="preserve"> с впервые выявленной ММ в возрасте до 65</w:t>
      </w:r>
      <w:r w:rsidR="00A473F6" w:rsidRPr="00430246">
        <w:t xml:space="preserve"> лет</w:t>
      </w:r>
      <w:r w:rsidR="0076197D" w:rsidRPr="007826BB">
        <w:t>, а также пациентам 65</w:t>
      </w:r>
      <w:r w:rsidR="005C44D0" w:rsidRPr="007826BB">
        <w:t>−</w:t>
      </w:r>
      <w:r w:rsidR="0076197D" w:rsidRPr="007826BB">
        <w:t>70 лет с хорошим соматическим статусом без тяжелых сопутствующих заболеваний, дост</w:t>
      </w:r>
      <w:r w:rsidR="00624D3B" w:rsidRPr="007826BB">
        <w:t xml:space="preserve">игшим </w:t>
      </w:r>
      <w:r w:rsidR="00593735" w:rsidRPr="007826BB">
        <w:t>ПР</w:t>
      </w:r>
      <w:r w:rsidR="00624D3B" w:rsidRPr="007826BB">
        <w:t xml:space="preserve"> или</w:t>
      </w:r>
      <w:r w:rsidR="00321B75" w:rsidRPr="007826BB">
        <w:t xml:space="preserve"> частичной ремиссии </w:t>
      </w:r>
      <w:r w:rsidR="00593735" w:rsidRPr="007826BB">
        <w:t xml:space="preserve">(ЧР) </w:t>
      </w:r>
      <w:r w:rsidR="00321B75" w:rsidRPr="007826BB">
        <w:t xml:space="preserve">после индукционной </w:t>
      </w:r>
      <w:r w:rsidR="00321B75" w:rsidRPr="00EE48C6">
        <w:t>терапии</w:t>
      </w:r>
      <w:r w:rsidR="002905FE" w:rsidRPr="00EE48C6">
        <w:t xml:space="preserve">, в случае успешного сбора </w:t>
      </w:r>
      <w:r w:rsidR="003569D8" w:rsidRPr="00EE48C6">
        <w:t>ГСК</w:t>
      </w:r>
      <w:r w:rsidR="002905FE" w:rsidRPr="00EE48C6">
        <w:t xml:space="preserve"> крови</w:t>
      </w:r>
      <w:r w:rsidR="00BA44DC" w:rsidRPr="00EE48C6">
        <w:t xml:space="preserve"> </w:t>
      </w:r>
      <w:r w:rsidR="00FF0C02" w:rsidRPr="00A26662">
        <w:rPr>
          <w:b/>
        </w:rPr>
        <w:t>рекомендуется</w:t>
      </w:r>
      <w:r w:rsidR="00BA44DC" w:rsidRPr="00A26662">
        <w:rPr>
          <w:b/>
        </w:rPr>
        <w:t xml:space="preserve"> </w:t>
      </w:r>
      <w:r w:rsidR="00321B75" w:rsidRPr="00A26662">
        <w:t>выполнение ВДХТ мелфаланом</w:t>
      </w:r>
      <w:r w:rsidRPr="00A26662">
        <w:t>**</w:t>
      </w:r>
      <w:r w:rsidR="00321B75" w:rsidRPr="00A26662">
        <w:t xml:space="preserve"> и последующей трансплантации </w:t>
      </w:r>
      <w:r w:rsidR="003569D8" w:rsidRPr="00A26662">
        <w:t xml:space="preserve">ауто-ТГСК </w:t>
      </w:r>
      <w:r w:rsidR="00A96FB6" w:rsidRPr="00EE48C6">
        <w:fldChar w:fldCharType="begin" w:fldLock="1"/>
      </w:r>
      <w:r w:rsidR="001D3DC1" w:rsidRPr="00EE48C6">
        <w:instrText>ADDIN CSL_CITATION {"citationItems":[{"id":"ITEM-1","itemData":{"DOI":"10.1080/10428194.2018.1543874","ISSN":"10292403","abstract":"To evaluate the role of high-dose melphalan plus autologous stem-cell transplantation (ASCT) as consolidation therapy for patients with newly diagnosed multiple myeloma (NDMM) in the era of novel agents, we undertook this meta-analysis. Medline, Embase, the Cochrane controlled trials register, the SCI, ASH, EHA, and ASCO were searched for clinical trials including high-dose chemotherapy plus ASCT for patients with NDMM. Finally, we identified four RCTs of ASCT versus novel agents based consolidations, and 10 single-arm prospective trials of ASCT alone. Pooled analysis indicated that response quality improved further after ASCT in the era of novel agents (&gt;=CR rates of 13% pre-ASCT versus 29% post-ASCT, p =.003). When compared to novel agents containing consolidation regimens, high-dose chemotherapy plus ASCT significantly improved progression-free survival (PFS) (HR =0.56, p &lt;.001). No significant difference in overall survival (OS) was found between them (HR =0.66, p =.22). Of note, subgroup analysis indicated that ASCT could significantly improve OS (HR =0.49, p =.0004) when compared to alkylating agent-based regimens plus lenalidomide consolidation. In summary, response quality and PFS improved further over ASCT in the era of novel agents. ASCT could improve survival than alkylating agent-based regimens plus lenalidomide consolidations for patients with NDMM.Copyright © 2018, © 2018 Informa UK Limited, trading as Taylor &amp; Francis Group.","author":[{"dropping-particle":"","family":"Su","given":"Baohua","non-dropping-particle":"","parse-names":false,"suffix":""},{"dropping-particle":"","family":"Zhu","given":"Xu","non-dropping-particle":"","parse-names":false,"suffix":""},{"dropping-particle":"","family":"Jiang","given":"Yina","non-dropping-particle":"","parse-names":false,"suffix":""},{"dropping-particle":"","family":"Wang","given":"Lida","non-dropping-particle":"","parse-names":false,"suffix":""},{"dropping-particle":"","family":"Zhao","given":"Ningning","non-dropping-particle":"","parse-names":false,"suffix":""},{"dropping-particle":"","family":"Ran","given":"Xuehong","non-dropping-particle":"","parse-names":false,"suffix":""},{"dropping-particle":"","family":"Zheng","given":"Xiaobin","non-dropping-particle":"","parse-names":false,"suffix":""},{"dropping-particle":"","family":"Guo","given":"Hui","non-dropping-particle":"","parse-names":false,"suffix":""}],"container-title":"Leukemia and Lymphoma","id":"ITEM-1","issued":{"date-parts":[["2018"]]},"publisher":"Taylor and Francis Ltd","title":"A meta-analysis of autologous transplantation for newly diagnosed multiple myeloma in the era of novel agents","type":"article-journal"},"uris":["http://www.mendeley.com/documents/?uuid=a763b0b9-22ac-33ee-8ac3-1da970da9202"]},{"id":"ITEM-2","itemData":{"DOI":"10.1001/jamaoncol.2017.4600","ISSN":"23742445","abstract":"Importance The role of high-dose therapy with melphalan followed by autologous stem cell transplant (HDT/ASCT) in patients with multiple myeloma continues to be debated in the context of novel agent induction. Objective To perform a systematic review, conventional meta-analysis, and network meta-analysis of all phase 3 randomized clinical trials (RCTs) evaluating the role of HDT/ASCT. Data Sources We performed a systematic literature search of Cochrane Central, MEDLINE, and Scopus from January 2000 through April 2017 and relevant annual meeting abstracts from January 2014 to December 2016. The following search terms were used: \"myeloma\" combined with \"autologous,\" \"transplant,\" \"myeloablative,\" or \"stem cell.\" Study Selection Phase 3 RCTs comparing HDT/ASCT with standard-dose therapy (SDT) using novel agents were assessed. Studies comparing single HDT/ASCT with bortezomib, lenalidomide, and dexamethasone consolidation and tandem transplantation were included for network meta-analysis. Data Extraction And Synthesis For the random effects meta-analysis, we used hazard ratios (HRs) and corresponding 95% CIs. Main Outcomes and Measures The primary outcome was progression-free survival (PFS). Overall survival (OS), complete response, and treatment-related mortality were secondary outcomes. Results A total of 4 RCTs (2421 patients) for conventional meta-analysis and 5 RCTs (3171 patients) for network meta-analysis were selected. The combined odds for complete response were 1.27 (95% CI, 0.97-1.65; P = .07) with HDT/ASCT when compared with SDT. The combined HR for PFS was 0.55 (95% CI, 0.41-0.74; P &lt; .001) and 0.76 for OS (95% CI, 0.42-1.36; P = .20) in favor of HDT. Meta-regression showed that longer follow-up was associated with superior PFS (HR/mo, 0.98; 95% CI, 0.96-0.99; P = .03) and OS (HR/mo, 0.90; 95% CI, 0.84-0.96; P = .002). For PFS, tandem HDT/ASCT had the most favorable HR (0.49; 95% CI, 0.37-0.65) followed by single HDT/ASCT with bortezomib, lenalidomide, and dexamethasone (HR, 0.53; 95% CI, 0.37-0.76) and single HDT/ASCT alone (HR, 0.68; 95% CI, 0.53-0.87) compared with SDT. For OS, none of the HDT/ASCT-based approaches had a significant effect on survival. Treatment-related mortality with HDT/ASCT was minimal (&lt;1%). Conclusions and Relevance The results of the conventional meta-analysis and network meta-analysis of all the phase 3 RCTs showed that HDT/ASCT was associated with superior PFS with minimal toxic effects compared with SDT. Both tandem…","author":[{"dropping-particle":"","family":"Dhakal","given":"Binod","non-dropping-particle":"","parse-names":false,"suffix":""},{"dropping-particle":"","family":"Szabo","given":"Aniko","non-dropping-particle":"","parse-names":false,"suffix":""},{"dropping-particle":"","family":"Chhabra","given":"Saurabh","non-dropping-particle":"","parse-names":false,"suffix":""},{"dropping-particle":"","family":"Hamadani","given":"Mehdi","non-dropping-particle":"","parse-names":false,"suffix":""},{"dropping-particle":"","family":"D'Souza","given":"Anita","non-dropping-particle":"","parse-names":false,"suffix":""},{"dropping-particle":"","family":"Usmani","given":"Saad Z.","non-dropping-particle":"","parse-names":false,"suffix":""},{"dropping-particle":"","family":"Sieracki","given":"Rita","non-dropping-particle":"","parse-names":false,"suffix":""},{"dropping-particle":"","family":"Gyawali","given":"Bishal","non-dropping-particle":"","parse-names":false,"suffix":""},{"dropping-particle":"","family":"Jackson","given":"Jeffrey L.","non-dropping-particle":"","parse-names":false,"suffix":""},{"dropping-particle":"","family":"Asimakopoulos","given":"Fotis","non-dropping-particle":"","parse-names":false,"suffix":""},{"dropping-particle":"","family":"Hari","given":"Parameswaran N.","non-dropping-particle":"","parse-names":false,"suffix":""}],"container-title":"JAMA Oncology","id":"ITEM-2","issue":"3","issued":{"date-parts":[["2018","3","1"]]},"page":"343-350","publisher":"American Medical Association","title":"Autologous transplantation for newly diagnosed multiple myeloma in the era of novel agent induction a systematic review and meta-analysis","type":"article-journal","volume":"4"},"uris":["http://www.mendeley.com/documents/?uuid=e10abcf3-d81f-385d-80c0-5398aae26e72"]}],"mendeley":{"formattedCitation":"[36,37]","plainTextFormattedCitation":"[36,37]","previouslyFormattedCitation":"[36,37]"},"properties":{"noteIndex":0},"schema":"https://github.com/citation-style-language/schema/raw/master/csl-citation.json"}</w:instrText>
      </w:r>
      <w:r w:rsidR="00A96FB6" w:rsidRPr="00EE48C6">
        <w:fldChar w:fldCharType="separate"/>
      </w:r>
      <w:r w:rsidR="00D95A58" w:rsidRPr="00EE48C6">
        <w:rPr>
          <w:noProof/>
        </w:rPr>
        <w:t>[36,37]</w:t>
      </w:r>
      <w:r w:rsidR="00A96FB6" w:rsidRPr="00EE48C6">
        <w:fldChar w:fldCharType="end"/>
      </w:r>
      <w:r w:rsidR="00185CAE" w:rsidRPr="00EE48C6">
        <w:t>.</w:t>
      </w:r>
    </w:p>
    <w:p w:rsidR="0076197D" w:rsidRPr="00912FAC" w:rsidRDefault="0076197D" w:rsidP="00131E36">
      <w:pPr>
        <w:spacing w:before="0" w:after="0"/>
        <w:ind w:left="709"/>
        <w:contextualSpacing/>
        <w:rPr>
          <w:b/>
        </w:rPr>
      </w:pPr>
      <w:r w:rsidRPr="00912FAC">
        <w:rPr>
          <w:b/>
        </w:rPr>
        <w:t xml:space="preserve">Уровень убедительности рекомендаций </w:t>
      </w:r>
      <w:r w:rsidR="005C44D0">
        <w:rPr>
          <w:b/>
        </w:rPr>
        <w:t xml:space="preserve">– </w:t>
      </w:r>
      <w:r w:rsidR="003C7967" w:rsidRPr="00912FAC">
        <w:rPr>
          <w:b/>
        </w:rPr>
        <w:t>А</w:t>
      </w:r>
      <w:r w:rsidR="005C44D0">
        <w:rPr>
          <w:b/>
        </w:rPr>
        <w:t xml:space="preserve"> </w:t>
      </w:r>
      <w:r w:rsidRPr="00912FAC">
        <w:rPr>
          <w:b/>
        </w:rPr>
        <w:t>(уровень достоверности доказательств</w:t>
      </w:r>
      <w:r w:rsidR="005C44D0">
        <w:rPr>
          <w:b/>
        </w:rPr>
        <w:t xml:space="preserve"> − </w:t>
      </w:r>
      <w:r w:rsidR="003C7967" w:rsidRPr="00B202CC">
        <w:rPr>
          <w:b/>
        </w:rPr>
        <w:t>1</w:t>
      </w:r>
      <w:r w:rsidRPr="00912FAC">
        <w:rPr>
          <w:b/>
        </w:rPr>
        <w:t>)</w:t>
      </w:r>
    </w:p>
    <w:p w:rsidR="00185CAE" w:rsidRDefault="0076197D" w:rsidP="00185CAE">
      <w:pPr>
        <w:spacing w:before="0" w:after="0"/>
        <w:ind w:left="709"/>
        <w:contextualSpacing/>
        <w:rPr>
          <w:b/>
        </w:rPr>
      </w:pPr>
      <w:r w:rsidRPr="00912FAC">
        <w:rPr>
          <w:b/>
        </w:rPr>
        <w:t xml:space="preserve">Комментарий: </w:t>
      </w:r>
      <w:r w:rsidR="005C44D0">
        <w:rPr>
          <w:i/>
        </w:rPr>
        <w:t>п</w:t>
      </w:r>
      <w:r w:rsidR="00624D3B" w:rsidRPr="00624D3B">
        <w:rPr>
          <w:i/>
        </w:rPr>
        <w:t>а</w:t>
      </w:r>
      <w:r w:rsidR="00624D3B">
        <w:rPr>
          <w:i/>
        </w:rPr>
        <w:t xml:space="preserve">циенты, достигшие </w:t>
      </w:r>
      <w:r w:rsidR="005C44D0">
        <w:rPr>
          <w:i/>
        </w:rPr>
        <w:t>ПР</w:t>
      </w:r>
      <w:r w:rsidR="00624D3B">
        <w:rPr>
          <w:i/>
        </w:rPr>
        <w:t xml:space="preserve"> или </w:t>
      </w:r>
      <w:r w:rsidR="005C44D0">
        <w:rPr>
          <w:i/>
        </w:rPr>
        <w:t>ОЧХР</w:t>
      </w:r>
      <w:r w:rsidR="000B622E">
        <w:rPr>
          <w:i/>
        </w:rPr>
        <w:t xml:space="preserve"> (см.</w:t>
      </w:r>
      <w:r w:rsidR="00E778E9">
        <w:rPr>
          <w:i/>
        </w:rPr>
        <w:t xml:space="preserve"> раздел 7 данных рекомендаций</w:t>
      </w:r>
      <w:r w:rsidR="000B622E">
        <w:rPr>
          <w:i/>
        </w:rPr>
        <w:t>)</w:t>
      </w:r>
      <w:r w:rsidR="00624D3B">
        <w:rPr>
          <w:i/>
        </w:rPr>
        <w:t xml:space="preserve"> после индукционной терапии, должны рассматриваться в качестве кандидатов на </w:t>
      </w:r>
      <w:r w:rsidR="00C10AFF">
        <w:rPr>
          <w:i/>
        </w:rPr>
        <w:t>выполнение ауто-ТГСК, поскольку именно в этих случаях возможно достижение максимального эффекта от консолидации высокодозным мелфаланом</w:t>
      </w:r>
      <w:r w:rsidR="00AD2477">
        <w:rPr>
          <w:i/>
        </w:rPr>
        <w:t>**</w:t>
      </w:r>
      <w:r w:rsidR="00B1183B" w:rsidRPr="00B1183B">
        <w:rPr>
          <w:i/>
        </w:rPr>
        <w:t xml:space="preserve"> (</w:t>
      </w:r>
      <w:r w:rsidR="00B1183B">
        <w:rPr>
          <w:i/>
        </w:rPr>
        <w:t>200 мг/м</w:t>
      </w:r>
      <w:r w:rsidR="00B1183B">
        <w:rPr>
          <w:i/>
          <w:vertAlign w:val="superscript"/>
        </w:rPr>
        <w:t>2</w:t>
      </w:r>
      <w:r w:rsidR="00B1183B" w:rsidRPr="00B1183B">
        <w:rPr>
          <w:i/>
        </w:rPr>
        <w:t>)</w:t>
      </w:r>
      <w:r w:rsidR="00185CAE" w:rsidRPr="00185CAE">
        <w:rPr>
          <w:i/>
          <w:vertAlign w:val="superscript"/>
        </w:rPr>
        <w:t xml:space="preserve"> </w:t>
      </w:r>
      <w:r w:rsidR="00A96FB6">
        <w:rPr>
          <w:i/>
          <w:vertAlign w:val="superscript"/>
        </w:rPr>
        <w:fldChar w:fldCharType="begin" w:fldLock="1"/>
      </w:r>
      <w:r w:rsidR="00F74B6B">
        <w:rPr>
          <w:i/>
          <w:vertAlign w:val="superscript"/>
        </w:rPr>
        <w:instrText>ADDIN CSL_CITATION {"citationItems":[{"id":"ITEM-1","itemData":{"DOI":"10.1038/bmt.2017.208","ISSN":"14765365","abstract":"High-dose BCNU/Melphalan conditioning regimen before autologous stem cell transplantation in newly diagnosed multiple myeloma","author":[{"dropping-particle":"","family":"Sivaraj","given":"D.","non-dropping-particle":"","parse-names":false,"suffix":""},{"dropping-particle":"","family":"Bacon","given":"W.","non-dropping-particle":"","parse-names":false,"suffix":""},{"dropping-particle":"","family":"Long","given":"G. D.","non-dropping-particle":"","parse-names":false,"suffix":""},{"dropping-particle":"","family":"Rizzieri","given":"D. A.","non-dropping-particle":"","parse-names":false,"suffix":""},{"dropping-particle":"","family":"Horwitz","given":"M. E.","non-dropping-particle":"","parse-names":false,"suffix":""},{"dropping-particle":"","family":"Sullivan","given":"K. M.","non-dropping-particle":"","parse-names":false,"suffix":""},{"dropping-particle":"","family":"Kang","given":"Y.","non-dropping-particle":"","parse-names":false,"suffix":""},{"dropping-particle":"","family":"Li","given":"Z.","non-dropping-particle":"","parse-names":false,"suffix":""},{"dropping-particle":"","family":"Chao","given":"N. J.","non-dropping-particle":"","parse-names":false,"suffix":""},{"dropping-particle":"","family":"Gasparetto","given":"C.","non-dropping-particle":"","parse-names":false,"suffix":""}],"container-title":"Bone Marrow Transplantation","id":"ITEM-1","issue":"1","issued":{"date-parts":[["2018"]]},"page":"34-38","publisher":"Nature Publishing Group","title":"High-dose BCNU/Melphalan conditioning regimen before autologous stem cell transplantation in newly diagnosed multiple myeloma","type":"article-journal","volume":"53"},"uris":["http://www.mendeley.com/documents/?uuid=36fd24a8-0e46-3dff-b299-aa25b401eea7"]}],"mendeley":{"formattedCitation":"[46]","plainTextFormattedCitation":"[46]","previouslyFormattedCitation":"[46]"},"properties":{"noteIndex":0},"schema":"https://github.com/citation-style-language/schema/raw/master/csl-citation.json"}</w:instrText>
      </w:r>
      <w:r w:rsidR="00A96FB6">
        <w:rPr>
          <w:i/>
          <w:vertAlign w:val="superscript"/>
        </w:rPr>
        <w:fldChar w:fldCharType="separate"/>
      </w:r>
      <w:r w:rsidR="00705691" w:rsidRPr="00705691">
        <w:rPr>
          <w:noProof/>
        </w:rPr>
        <w:t>[46]</w:t>
      </w:r>
      <w:r w:rsidR="00A96FB6">
        <w:rPr>
          <w:i/>
          <w:vertAlign w:val="superscript"/>
        </w:rPr>
        <w:fldChar w:fldCharType="end"/>
      </w:r>
      <w:r w:rsidR="00C10AFF">
        <w:rPr>
          <w:i/>
        </w:rPr>
        <w:t xml:space="preserve"> и значительного увеличения выживаемости </w:t>
      </w:r>
      <w:r w:rsidR="00FB03BB" w:rsidRPr="00FB03BB">
        <w:rPr>
          <w:i/>
        </w:rPr>
        <w:t>пациентов</w:t>
      </w:r>
      <w:r w:rsidR="00C10AFF">
        <w:rPr>
          <w:i/>
        </w:rPr>
        <w:t xml:space="preserve"> без признаков прогрессирования заболевания.</w:t>
      </w:r>
    </w:p>
    <w:p w:rsidR="00185CAE" w:rsidRDefault="00321B75" w:rsidP="00185CAE">
      <w:pPr>
        <w:spacing w:before="0" w:after="0"/>
        <w:ind w:left="709"/>
        <w:contextualSpacing/>
        <w:rPr>
          <w:i/>
        </w:rPr>
      </w:pPr>
      <w:r w:rsidRPr="00321B75">
        <w:rPr>
          <w:i/>
        </w:rPr>
        <w:t>Интервал от мобилизации до начала предтрансплантационного кондиционирования должен составлять от 2 до 4 нед.</w:t>
      </w:r>
      <w:r w:rsidR="00BA44DC">
        <w:rPr>
          <w:i/>
        </w:rPr>
        <w:t xml:space="preserve"> </w:t>
      </w:r>
      <w:r w:rsidRPr="00321B75">
        <w:rPr>
          <w:i/>
        </w:rPr>
        <w:t>При выраженном нарушении функции почек (</w:t>
      </w:r>
      <w:r w:rsidR="00536161" w:rsidRPr="00536161">
        <w:rPr>
          <w:i/>
        </w:rPr>
        <w:t>скорость клубочковой фильтрации</w:t>
      </w:r>
      <w:r w:rsidRPr="00321B75">
        <w:rPr>
          <w:i/>
        </w:rPr>
        <w:t xml:space="preserve"> &lt;30 мл/мин), не требующем проведения гемодиализа, а также </w:t>
      </w:r>
      <w:r w:rsidR="00FB03BB">
        <w:rPr>
          <w:i/>
        </w:rPr>
        <w:t>п</w:t>
      </w:r>
      <w:r w:rsidR="00FB03BB" w:rsidRPr="00FB03BB">
        <w:rPr>
          <w:i/>
        </w:rPr>
        <w:t>ациентам</w:t>
      </w:r>
      <w:r w:rsidRPr="00321B75">
        <w:rPr>
          <w:i/>
        </w:rPr>
        <w:t xml:space="preserve"> старшего возраста (65</w:t>
      </w:r>
      <w:r w:rsidR="0030209E">
        <w:rPr>
          <w:i/>
        </w:rPr>
        <w:t>−</w:t>
      </w:r>
      <w:r w:rsidRPr="00321B75">
        <w:rPr>
          <w:i/>
        </w:rPr>
        <w:t>70 лет) целесообразно снижать дозу мелфалана</w:t>
      </w:r>
      <w:r w:rsidR="003C7967">
        <w:rPr>
          <w:i/>
        </w:rPr>
        <w:t>**</w:t>
      </w:r>
      <w:r w:rsidRPr="00321B75">
        <w:rPr>
          <w:i/>
        </w:rPr>
        <w:t xml:space="preserve"> до 140 мг/м</w:t>
      </w:r>
      <w:r w:rsidRPr="00321B75">
        <w:rPr>
          <w:i/>
          <w:vertAlign w:val="superscript"/>
        </w:rPr>
        <w:t>2</w:t>
      </w:r>
      <w:r w:rsidRPr="00321B75">
        <w:rPr>
          <w:i/>
        </w:rPr>
        <w:t>. Для пациентов, находящихся на программном гемодиализе, дозу мелфалана</w:t>
      </w:r>
      <w:r w:rsidR="003C7967">
        <w:rPr>
          <w:i/>
        </w:rPr>
        <w:t>**</w:t>
      </w:r>
      <w:r w:rsidRPr="00321B75">
        <w:rPr>
          <w:i/>
        </w:rPr>
        <w:t xml:space="preserve"> (140</w:t>
      </w:r>
      <w:r w:rsidR="0030209E">
        <w:rPr>
          <w:i/>
        </w:rPr>
        <w:t>−</w:t>
      </w:r>
      <w:r w:rsidRPr="00321B75">
        <w:rPr>
          <w:i/>
        </w:rPr>
        <w:t>200 мг/м</w:t>
      </w:r>
      <w:r w:rsidRPr="00321B75">
        <w:rPr>
          <w:i/>
          <w:vertAlign w:val="superscript"/>
        </w:rPr>
        <w:t>2</w:t>
      </w:r>
      <w:r w:rsidRPr="00321B75">
        <w:rPr>
          <w:i/>
        </w:rPr>
        <w:t>) определяет трансплантационный центр. Гемодиализ проводится в –4-й, –2-й (перед введением мелфалана</w:t>
      </w:r>
      <w:r w:rsidR="00AD2477">
        <w:rPr>
          <w:i/>
        </w:rPr>
        <w:t>**</w:t>
      </w:r>
      <w:r w:rsidRPr="00321B75">
        <w:rPr>
          <w:i/>
        </w:rPr>
        <w:t xml:space="preserve">) и в 0-й день (перед трансфузией лейкоконцентрата). </w:t>
      </w:r>
    </w:p>
    <w:p w:rsidR="00185CAE" w:rsidRPr="00EE48C6" w:rsidRDefault="00185CAE" w:rsidP="002F2D5C">
      <w:pPr>
        <w:pStyle w:val="a5"/>
        <w:numPr>
          <w:ilvl w:val="0"/>
          <w:numId w:val="9"/>
        </w:numPr>
        <w:tabs>
          <w:tab w:val="clear" w:pos="348"/>
          <w:tab w:val="num" w:pos="709"/>
        </w:tabs>
        <w:spacing w:before="0" w:after="0"/>
        <w:ind w:left="709" w:hanging="709"/>
      </w:pPr>
      <w:r w:rsidRPr="00430246">
        <w:t xml:space="preserve">Для пациентов </w:t>
      </w:r>
      <w:r w:rsidR="00F719E7" w:rsidRPr="00430246">
        <w:rPr>
          <w:lang w:val="en-US"/>
        </w:rPr>
        <w:t>c</w:t>
      </w:r>
      <w:r w:rsidR="00F719E7" w:rsidRPr="00E0253D">
        <w:t xml:space="preserve"> </w:t>
      </w:r>
      <w:r w:rsidRPr="00E0253D">
        <w:t>ММ</w:t>
      </w:r>
      <w:r w:rsidR="00F719E7" w:rsidRPr="00E0253D">
        <w:t xml:space="preserve">, которым была выполнена </w:t>
      </w:r>
      <w:r w:rsidRPr="00E0253D">
        <w:t>ВДХТ и ауто</w:t>
      </w:r>
      <w:r w:rsidR="00267DE2">
        <w:t>-</w:t>
      </w:r>
      <w:r w:rsidRPr="00E0253D">
        <w:t>ТГСК</w:t>
      </w:r>
      <w:r w:rsidR="00F719E7" w:rsidRPr="00E0253D">
        <w:t>, через 100 дней после проведения ВДХТ и ауто</w:t>
      </w:r>
      <w:r w:rsidR="00267DE2">
        <w:t>-</w:t>
      </w:r>
      <w:r w:rsidR="00F719E7" w:rsidRPr="00E0253D">
        <w:t>ТГСК</w:t>
      </w:r>
      <w:r w:rsidRPr="00E0253D">
        <w:t xml:space="preserve"> </w:t>
      </w:r>
      <w:r w:rsidRPr="00E0253D">
        <w:rPr>
          <w:b/>
        </w:rPr>
        <w:t xml:space="preserve">рекомендуется </w:t>
      </w:r>
      <w:r w:rsidR="00F719E7" w:rsidRPr="0048569F">
        <w:t xml:space="preserve">иммунофенотипирование биологического материала (пунктата КМ) для выявления маркеров минимальной </w:t>
      </w:r>
      <w:r w:rsidR="00F719E7" w:rsidRPr="00EE48C6">
        <w:t>остаточной болезни при гемобластозах</w:t>
      </w:r>
      <w:r w:rsidR="00F719E7" w:rsidRPr="00EE48C6">
        <w:rPr>
          <w:bCs/>
        </w:rPr>
        <w:t xml:space="preserve"> </w:t>
      </w:r>
      <w:r w:rsidR="00A96FB6" w:rsidRPr="00EE48C6">
        <w:rPr>
          <w:bCs/>
        </w:rPr>
        <w:fldChar w:fldCharType="begin" w:fldLock="1"/>
      </w:r>
      <w:r w:rsidR="00F74B6B">
        <w:rPr>
          <w:bCs/>
        </w:rPr>
        <w:instrText>ADDIN CSL_CITATION {"citationItems":[{"id":"ITEM-1","itemData":{"DOI":"10.18632/oncotarget.12641","ISSN":"19492553","abstract":"We analyzed 50 patients who achieved at least a very good partial response in the RV-MM-EMN-441 study. Patients received consolidation with autologous stem-cell transplantation (ASCT) or cyclophosphamide-lenalidomide-dexamethasone (CRD), followed by Lenalidomide-based maintenance. We assessed minimal residual disease (MRD) by multi-parameter flow cytometry (MFC) and allelic-specific oligonucleotide real-time quantitative polymerase chain reaction (ASO-RQ-PCR) after consolidation, after 3 and 6 courses of maintenance, and thereafter every 6 months until progression. By MFC analysis, 19/50 patients achieved complete response (CR) after consolidation, and 7 additional patients during maintenance. A molecular marker was identified in 25/50 patients, 4/25 achieved molecular-CR after consolidation, and 3 additional patients during maintenance. A lower MRD value by MFC was found in ASCT patients compared with CRD patients (p = 0.0134). Tumor burden reduction was different in patients with high-risk vs standard-risk cytogenetics (3.4 vs 5.2, ln-MFC; 3 vs 6 ln-PCR, respectively) and in patients who relapsed vs those who did not (4 vs 5, ln-MFC; 4.4 vs 7.8 ln-PCR). MRD progression anticipated clinical relapse by a median of 9 months while biochemical relapse by a median of 4 months. MRD allows the identification of a low-risk group, independently of response, and a better characterization of the activity of treatments.","author":[{"dropping-particle":"","family":"Oliva","given":"Stefania","non-dropping-particle":"","parse-names":false,"suffix":""},{"dropping-particle":"","family":"Gambella","given":"Manuela","non-dropping-particle":"","parse-names":false,"suffix":""},{"dropping-particle":"","family":"Gilestro","given":"Milena","non-dropping-particle":"","parse-names":false,"suffix":""},{"dropping-particle":"","family":"Muccio","given":"Vittorio Emanuele","non-dropping-particle":"","parse-names":false,"suffix":""},{"dropping-particle":"","family":"Gay","given":"Francesca","non-dropping-particle":"","parse-names":false,"suffix":""},{"dropping-particle":"","family":"Drandi","given":"Daniela","non-dropping-particle":"","parse-names":false,"suffix":""},{"dropping-particle":"","family":"Ferrero","given":"Simone","non-dropping-particle":"","parse-names":false,"suffix":""},{"dropping-particle":"","family":"Passera","given":"Roberto","non-dropping-particle":"","parse-names":false,"suffix":""},{"dropping-particle":"","family":"Pautasso","given":"Chiara","non-dropping-particle":"","parse-names":false,"suffix":""},{"dropping-particle":"","family":"Bernardini","given":"Annalisa","non-dropping-particle":"","parse-names":false,"suffix":""},{"dropping-particle":"","family":"Genuardi","given":"Mariella","non-dropping-particle":"","parse-names":false,"suffix":""},{"dropping-particle":"","family":"Patriarca","given":"Francesca","non-dropping-particle":"","parse-names":false,"suffix":""},{"dropping-particle":"","family":"Saraci","given":"Elona","non-dropping-particle":"","parse-names":false,"suffix":""},{"dropping-particle":"","family":"Petrucci","given":"Maria Teresa","non-dropping-particle":"","parse-names":false,"suffix":""},{"dropping-particle":"","family":"Pescosta","given":"Norbert","non-dropping-particle":"","parse-names":false,"suffix":""},{"dropping-particle":"","family":"Liberati","given":"Anna Marina","non-dropping-particle":"","parse-names":false,"suffix":""},{"dropping-particle":"","family":"Caravita","given":"Tommaso","non-dropping-particle":"","parse-names":false,"suffix":""},{"dropping-particle":"","family":"Conticello","given":"Concetta","non-dropping-particle":"","parse-names":false,"suffix":""},{"dropping-particle":"","family":"Rocci","given":"Alberto","non-dropping-particle":"","parse-names":false,"suffix":""},{"dropping-particle":"","family":"Musto","given":"Pellegrino","non-dropping-particle":"","parse-names":false,"suffix":""},{"dropping-particle":"","family":"Boccadoro","given":"Mario","non-dropping-particle":"","parse-names":false,"suffix":""},{"dropping-particle":"","family":"Palumbo","given":"Antonio","non-dropping-particle":"","parse-names":false,"suffix":""},{"dropping-particle":"","family":"Omedè","given":"Paola","non-dropping-particle":"","parse-names":false,"suffix":""}],"container-title":"Oncotarget","id":"ITEM-1","issue":"4","issued":{"date-parts":[["2017"]]},"page":"5924-5935","publisher":"Impact Journals LLC","title":"Minimal residual disease after transplantation or lenalidomidebased consolidation in myeloma patients: A prospective analysis","type":"article-journal","volume":"8"},"uris":["http://www.mendeley.com/documents/?uuid=90390907-0fb2-35c2-be6e-2e006c152197"]}],"mendeley":{"formattedCitation":"[47]","plainTextFormattedCitation":"[47]","previouslyFormattedCitation":"[47]"},"properties":{"noteIndex":0},"schema":"https://github.com/citation-style-language/schema/raw/master/csl-citation.json"}</w:instrText>
      </w:r>
      <w:r w:rsidR="00A96FB6" w:rsidRPr="00EE48C6">
        <w:rPr>
          <w:bCs/>
        </w:rPr>
        <w:fldChar w:fldCharType="separate"/>
      </w:r>
      <w:r w:rsidR="00705691" w:rsidRPr="00705691">
        <w:rPr>
          <w:bCs/>
          <w:noProof/>
        </w:rPr>
        <w:t>[47]</w:t>
      </w:r>
      <w:r w:rsidR="00A96FB6" w:rsidRPr="00EE48C6">
        <w:rPr>
          <w:bCs/>
        </w:rPr>
        <w:fldChar w:fldCharType="end"/>
      </w:r>
      <w:r w:rsidRPr="00EE48C6">
        <w:t>.</w:t>
      </w:r>
    </w:p>
    <w:p w:rsidR="00185CAE" w:rsidRDefault="00185CAE" w:rsidP="00185CAE">
      <w:pPr>
        <w:pStyle w:val="a5"/>
        <w:spacing w:before="0" w:after="0"/>
        <w:ind w:left="709"/>
        <w:rPr>
          <w:b/>
        </w:rPr>
      </w:pPr>
      <w:r w:rsidRPr="00A26662">
        <w:rPr>
          <w:b/>
        </w:rPr>
        <w:t xml:space="preserve">Уровень убедительности рекомендаций </w:t>
      </w:r>
      <w:r w:rsidR="002535B4" w:rsidRPr="00A26662">
        <w:rPr>
          <w:b/>
        </w:rPr>
        <w:t xml:space="preserve">− </w:t>
      </w:r>
      <w:r w:rsidR="00EE48C6" w:rsidRPr="00A26662">
        <w:rPr>
          <w:b/>
        </w:rPr>
        <w:t xml:space="preserve">С </w:t>
      </w:r>
      <w:r w:rsidRPr="00A26662">
        <w:rPr>
          <w:b/>
        </w:rPr>
        <w:t>(уровень достоверности доказательств</w:t>
      </w:r>
      <w:r w:rsidR="00F719E7" w:rsidRPr="00BF55DF">
        <w:rPr>
          <w:b/>
        </w:rPr>
        <w:t xml:space="preserve"> </w:t>
      </w:r>
      <w:r w:rsidR="002535B4" w:rsidRPr="00BF55DF">
        <w:rPr>
          <w:b/>
        </w:rPr>
        <w:t xml:space="preserve">− </w:t>
      </w:r>
      <w:r w:rsidR="00EE48C6" w:rsidRPr="00BF55DF">
        <w:rPr>
          <w:b/>
        </w:rPr>
        <w:t>4</w:t>
      </w:r>
      <w:r w:rsidRPr="00BF55DF">
        <w:rPr>
          <w:b/>
        </w:rPr>
        <w:t>)</w:t>
      </w:r>
    </w:p>
    <w:p w:rsidR="00EE2530" w:rsidRDefault="00EE2530" w:rsidP="00E36DFA">
      <w:pPr>
        <w:pStyle w:val="a3"/>
        <w:spacing w:before="0" w:beforeAutospacing="0" w:after="0" w:afterAutospacing="0" w:line="360" w:lineRule="auto"/>
        <w:ind w:firstLine="709"/>
        <w:outlineLvl w:val="1"/>
      </w:pPr>
      <w:bookmarkStart w:id="28" w:name="_Toc24826819"/>
      <w:r>
        <w:rPr>
          <w:rStyle w:val="ab"/>
          <w:u w:val="single"/>
        </w:rPr>
        <w:t>3.3.3</w:t>
      </w:r>
      <w:r w:rsidR="00BF3C4A" w:rsidRPr="002535B4">
        <w:rPr>
          <w:rStyle w:val="ab"/>
          <w:u w:val="single"/>
        </w:rPr>
        <w:t xml:space="preserve"> </w:t>
      </w:r>
      <w:r>
        <w:rPr>
          <w:rStyle w:val="ab"/>
          <w:u w:val="single"/>
        </w:rPr>
        <w:t>Этап консолидирующего лечения</w:t>
      </w:r>
      <w:bookmarkEnd w:id="28"/>
    </w:p>
    <w:p w:rsidR="00C77FEF" w:rsidRDefault="00A473F6" w:rsidP="002F2D5C">
      <w:pPr>
        <w:pStyle w:val="a5"/>
        <w:numPr>
          <w:ilvl w:val="0"/>
          <w:numId w:val="9"/>
        </w:numPr>
        <w:tabs>
          <w:tab w:val="clear" w:pos="348"/>
          <w:tab w:val="num" w:pos="709"/>
        </w:tabs>
        <w:spacing w:before="0" w:after="0"/>
        <w:ind w:left="709" w:hanging="709"/>
      </w:pPr>
      <w:r>
        <w:lastRenderedPageBreak/>
        <w:t>Для пациентов</w:t>
      </w:r>
      <w:r w:rsidR="00E50AB4">
        <w:t xml:space="preserve"> ММ в возрасте до 65</w:t>
      </w:r>
      <w:r>
        <w:t xml:space="preserve"> лет</w:t>
      </w:r>
      <w:r w:rsidR="00E50AB4">
        <w:t>, а также пациентам 65</w:t>
      </w:r>
      <w:r w:rsidR="002535B4">
        <w:t>−</w:t>
      </w:r>
      <w:r w:rsidR="00E50AB4">
        <w:t>70 лет с хорошим соматическим статусом без тя</w:t>
      </w:r>
      <w:r w:rsidR="0055372F">
        <w:t>желых сопутствующих заболеваний</w:t>
      </w:r>
      <w:r w:rsidR="00BA44DC">
        <w:t xml:space="preserve"> </w:t>
      </w:r>
      <w:r w:rsidR="00BB0985">
        <w:t>после выполнения ВДХТ</w:t>
      </w:r>
      <w:r w:rsidR="00185CAE" w:rsidRPr="00185CAE">
        <w:t xml:space="preserve"> </w:t>
      </w:r>
      <w:r w:rsidR="00BB0985">
        <w:t xml:space="preserve">и </w:t>
      </w:r>
      <w:r w:rsidR="00E50AB4">
        <w:t>ауто</w:t>
      </w:r>
      <w:r w:rsidR="00267DE2">
        <w:t>-</w:t>
      </w:r>
      <w:r w:rsidR="00E50AB4">
        <w:t xml:space="preserve">ТГСК </w:t>
      </w:r>
      <w:r w:rsidR="00FF0C02">
        <w:rPr>
          <w:b/>
        </w:rPr>
        <w:t>рекомендуется</w:t>
      </w:r>
      <w:r w:rsidR="00BA44DC">
        <w:rPr>
          <w:b/>
        </w:rPr>
        <w:t xml:space="preserve"> </w:t>
      </w:r>
      <w:r w:rsidR="005B1401">
        <w:t>проведени</w:t>
      </w:r>
      <w:r w:rsidR="002535B4">
        <w:t>е</w:t>
      </w:r>
      <w:r w:rsidR="005B1401">
        <w:t xml:space="preserve"> консолидирующей терапии</w:t>
      </w:r>
      <w:r w:rsidR="00785A80">
        <w:t xml:space="preserve"> для </w:t>
      </w:r>
      <w:r w:rsidR="00766ADD">
        <w:t xml:space="preserve">повышения качества противоопухолевого ответа, достигнутого на предыдущих этапах </w:t>
      </w:r>
      <w:r w:rsidR="00766ADD" w:rsidRPr="00021E5D">
        <w:t>лечения</w:t>
      </w:r>
      <w:r w:rsidR="00BF3C4A" w:rsidRPr="001E16F8">
        <w:t xml:space="preserve"> </w:t>
      </w:r>
      <w:r w:rsidR="00A96FB6" w:rsidRPr="001E16F8">
        <w:fldChar w:fldCharType="begin" w:fldLock="1"/>
      </w:r>
      <w:r w:rsidR="00F74B6B">
        <w:instrText>ADDIN CSL_CITATION {"citationItems":[{"id":"ITEM-1","itemData":{"author":[{"dropping-particle":"","family":"Sonneveld","given":"P.","non-dropping-particle":"","parse-names":false,"suffix":""},{"dropping-particle":"","family":"Beksac","given":"M.","non-dropping-particle":"","parse-names":false,"suffix":""},{"dropping-particle":"","family":"Holt","given":"B.","non-dropping-particle":"van der","parse-names":false,"suffix":""},{"dropping-particle":"","family":"Dimopoulos","given":"M.A.","non-dropping-particle":"","parse-names":false,"suffix":""},{"dropping-particle":"","family":"Carella","given":"A.","non-dropping-particle":"","parse-names":false,"suffix":""},{"dropping-particle":"","family":"Ludwig","given":"H.","non-dropping-particle":"","parse-names":false,"suffix":""},{"dropping-particle":"","family":"Driessen","given":"C.","non-dropping-particle":"","parse-names":false,"suffix":""},{"dropping-particle":"","family":"Wester","given":"R.","non-dropping-particle":"","parse-names":false,"suffix":""},{"dropping-particle":"","family":"Hajek","given":"R.","non-dropping-particle":"","parse-names":false,"suffix":""},{"dropping-particle":"","family":"Cornelisse","given":"P.","non-dropping-particle":"","parse-names":false,"suffix":""},{"dropping-particle":"","family":"Troia","given":"R.","non-dropping-particle":"","parse-names":false,"suffix":""},{"dropping-particle":"","family":"Dozza","given":"L.","non-dropping-particle":"","parse-names":false,"suffix":""},{"dropping-particle":"","family":"Gay","given":"F.","non-dropping-particle":"","parse-names":false,"suffix":""},{"dropping-particle":"","family":"Cafro","given":"A.","non-dropping-particle":"","parse-names":false,"suffix":""},{"dropping-particle":"","family":"Rosa","given":"L.","non-dropping-particle":"De","parse-names":false,"suffix":""},{"dropping-particle":"","family":"Fiontoni","given":"G.","non-dropping-particle":"","parse-names":false,"suffix":""},{"dropping-particle":"","family":"Fiontoni","given":"G.","non-dropping-particle":"","parse-names":false,"suffix":""},{"dropping-particle":"","family":"Mellqvist","given":"U.H.","non-dropping-particle":"","parse-names":false,"suffix":""},{"dropping-particle":"","family":"Johnsen","given":"H.E.","non-dropping-particle":"","parse-names":false,"suffix":""},{"dropping-particle":"","family":"Zweegman","given":"S.","non-dropping-particle":"","parse-names":false,"suffix":""},{"dropping-particle":"","family":"Wu","given":"K.L.","non-dropping-particle":"","parse-names":false,"suffix":""},{"dropping-particle":"","family":"Parreira","given":"J.","non-dropping-particle":"","parse-names":false,"suffix":""},{"dropping-particle":"","family":"Schjesvold","given":"F.H.","non-dropping-particle":"","parse-names":false,"suffix":""},{"dropping-particle":"","family":"D'Rozario","given":"J.","non-dropping-particle":"","parse-names":false,"suffix":""},{"dropping-particle":"","family":"Palumbo","given":"A.","non-dropping-particle":"","parse-names":false,"suffix":""},{"dropping-particle":"","family":"Boccadoro","given":"M.","non-dropping-particle":"","parse-names":false,"suffix":""},{"dropping-particle":"","family":"Cavo","given":"M.","non-dropping-particle":"","parse-names":false,"suffix":""}],"container-title":"EHA 23 Proceedings","id":"ITEM-1","issued":{"date-parts":[["2018"]]},"page":"Abstract S108","title":"Consolidation followed by maintenance vs. maintenance alone in newly diagnosed, transplant eligible multiple myeloma: a randomized phase 3 study of the European Myeloma Network (EMN02/HO95 MM TRIAL)","type":"paper-conference"},"uris":["http://www.mendeley.com/documents/?uuid=f16f19a5-2470-3c95-a999-ddff15c4d0bd"]},{"id":"ITEM-2","itemData":{"DOI":"10.1200/JCO.2013.54.8164","ISSN":"15277755","abstract":"Purpose: The three-drug combination of lenalidomide, bortezomib, and dexamethasone (RVD) has shown significant efficacy in multiple myeloma (MM). The Intergroupe Francophone du Myélome (IFM) decided to evaluate RVD induction and consolidation therapies in a sequential intensive strategy for previously untreated transplantation-eligible patients with MM. Patients and Methods: In this phase II study, 31 symptomatic patients age &lt; 65 years were enrolled to receive three RVD induction cycles followed by cyclophosphamide harvest and transplantation. Patients subsequently received two RVD consolidation cycles and 1-year lenalidomide maintenance. Results: Very good partial response rate or better at the completion of induction, transplantation, and consolidation therapy was 58%, 70%, and 87%, respectively. Maintenance upgraded responses in 27% of patients. Overall, 58% of patients achieved complete response, and 68% were minimal residual disease (MRD) negative by flow cytometry. The most common toxicities with RVD were neurologic and hematologic, including grade 1 to 2 sensory neuropathy (55%), grade 3 to 4 neutropenia (35%), and thrombocytopenia (13%). Two basal cell carcinomas in the same patient and one case of breast cancer were observed. There was no treatment-related mortality. With a median follow-up of 39 months, estimated 3-year progression-free and overall survival were 77% and 100%, respectively. None of the patients who achieved MRD negativity relapsed. Conclusion: The transplantation program with RVD induction and consolidation followed by lenalidomide maintenance produced high-quality responses and showed favorable tolerability in patients with newly diagnosed MM. Overall, 68% of patients achieved MRD negativity; none of these patients relapsed. This program is being evaluated in the ongoing IFM/Dana-Farber Cancer Institute 2009 phase III study. © 2014 by American Society of Clinical Oncology.","author":[{"dropping-particle":"","family":"Roussel","given":"Murielle","non-dropping-particle":"","parse-names":false,"suffix":""},{"dropping-particle":"","family":"Lauwers-Cances","given":"Valérie","non-dropping-particle":"","parse-names":false,"suffix":""},{"dropping-particle":"","family":"Robillard","given":"Nelly","non-dropping-particle":"","parse-names":false,"suffix":""},{"dropping-particle":"","family":"Hulin","given":"Cyrille","non-dropping-particle":"","parse-names":false,"suffix":""},{"dropping-particle":"","family":"Leleu","given":"Xavier","non-dropping-particle":"","parse-names":false,"suffix":""},{"dropping-particle":"","family":"Benboubker","given":"Lotfi","non-dropping-particle":"","parse-names":false,"suffix":""},{"dropping-particle":"","family":"Marit","given":"Gérald","non-dropping-particle":"","parse-names":false,"suffix":""},{"dropping-particle":"","family":"Moreau","given":"Philippe","non-dropping-particle":"","parse-names":false,"suffix":""},{"dropping-particle":"","family":"Pegourie","given":"Brigitte","non-dropping-particle":"","parse-names":false,"suffix":""},{"dropping-particle":"","family":"Caillot","given":"Denis","non-dropping-particle":"","parse-names":false,"suffix":""},{"dropping-particle":"","family":"Fruchart","given":"Christophe","non-dropping-particle":"","parse-names":false,"suffix":""},{"dropping-particle":"","family":"Stoppa","given":"Anne Marie","non-dropping-particle":"","parse-names":false,"suffix":""},{"dropping-particle":"","family":"Gentil","given":"Catherine","non-dropping-particle":"","parse-names":false,"suffix":""},{"dropping-particle":"","family":"Wuilleme","given":"Soraya","non-dropping-particle":"","parse-names":false,"suffix":""},{"dropping-particle":"","family":"Huynh","given":"Anne","non-dropping-particle":"","parse-names":false,"suffix":""},{"dropping-particle":"","family":"Hebraud","given":"Benjamin","non-dropping-particle":"","parse-names":false,"suffix":""},{"dropping-particle":"","family":"Corre","given":"Jill","non-dropping-particle":"","parse-names":false,"suffix":""},{"dropping-particle":"","family":"Chretien","given":"Marie Lorraine","non-dropping-particle":"","parse-names":false,"suffix":""},{"dropping-particle":"","family":"Facon","given":"Thierry","non-dropping-particle":"","parse-names":false,"suffix":""},{"dropping-particle":"","family":"Avet-Loiseau","given":"Hervé","non-dropping-particle":"","parse-names":false,"suffix":""},{"dropping-particle":"","family":"Attal","given":"Michel","non-dropping-particle":"","parse-names":false,"suffix":""}],"container-title":"Journal of Clinical Oncology","id":"ITEM-2","issue":"25","issued":{"date-parts":[["2014","9","1"]]},"page":"2712-2717","publisher":"American Society of Clinical Oncology","title":"Front-line transplantation program with lenalidomide, bortezomib, and dexamethasone combination as induction and consolidation followed by lenalidomide maintenance in patients with multiple myeloma: A phase II study by the Intergroupe Francophone du Myélome","type":"article-journal","volume":"32"},"uris":["http://www.mendeley.com/documents/?uuid=26d353a8-5357-3f67-9a63-0b8987baf727"]},{"id":"ITEM-3","itemData":{"DOI":"10.1002/14651858.CD004626.pub3","ISSN":"1469-493X","PMID":"23076906","abstract":"BACKGROUND Several clinical studies have compared single with tandem (also called double) autologous stem cell transplantation (ASCT) as first-line treatment in patients with symptomatic multiple myeloma (MM), one of the leading indications for ASCT worldwide. OBJECTIVES The present Cochrane Review compares tandem autologous stem cell transplantation (TASCT) with single autologous stem cell transplantation (SASCT) as first-line treatment in patients with symptomatic MM with respect to overall survival (OS), event-free survival (EFS), quality of life (QoL) and treatment- or transplantation-related mortality. SEARCH METHODS We systematically identified controlled trials published between January 1995 and May 2011 in two bibliographic databases (MEDLINE and CENTRAL) and in clinical trial registries. SELECTION CRITERIA One researcher screened references for controlled trials to determine eligibility for the systematic review (SR) according to pre-specified inclusion and exclusion criteria, reflecting characteristics of disease and the interventions. We required a minimal set of details to be reported for observational studies for the studies to be included. DATA COLLECTION AND ANALYSIS We critically evaluated eligible trials with respect to quality of design and actual performance. One researcher extracted individual trial results, which were checked by another researcher. We recapitulated the results of the individual trials in a standardised way for the SR in order to allow a systematic assessment of potential sources of bias. MAIN RESULTS Overall, we identified 14 controlled studies. One registered randomised controlled trial (RCT) is still recruiting patients at the time of this review and no clinical results have been published. Two registered RCTs have remained unpublished despite their termination. Publications on one RCT had been retracted. We excluded five observational studies since neither patients nor treatment regimens were sufficiently characterised to allow an assessment of potential confounding by indication. We conducted a SR of study designs, definition of endpoints, treatment regimens and baseline characteristics of patients in the five included RCTs (two full-text publications, three conference presentations) enrolling1506 patients in total. Because we identified substantial clinical and methodological heterogeneity, we refrained from conducting a formal meta-analysis.While we included only previously untreated, symptomatic patients with…","author":[{"dropping-particle":"","family":"Naumann-Winter","given":"Frauke","non-dropping-particle":"","parse-names":false,"suffix":""},{"dropping-particle":"","family":"Greb","given":"Alexander","non-dropping-particle":"","parse-names":false,"suffix":""},{"dropping-particle":"","family":"Borchmann","given":"Peter","non-dropping-particle":"","parse-names":false,"suffix":""},{"dropping-particle":"","family":"Bohlius","given":"Julia","non-dropping-particle":"","parse-names":false,"suffix":""},{"dropping-particle":"","family":"Engert","given":"Andreas","non-dropping-particle":"","parse-names":false,"suffix":""},{"dropping-particle":"","family":"Schnell","given":"Roland","non-dropping-particle":"","parse-names":false,"suffix":""}],"container-title":"The Cochrane database of systematic reviews","id":"ITEM-3","issued":{"date-parts":[["2012","10","17"]]},"page":"CD004626","title":"First-line tandem high-dose chemotherapy and autologous stem cell transplantation versus single high-dose chemotherapy and autologous stem cell transplantation in multiple myeloma, a systematic review of controlled studies.","type":"article-journal","volume":"10"},"uris":["http://www.mendeley.com/documents/?uuid=4593ca73-a58d-33b7-b657-1766b684c696"]},{"id":"ITEM-4","itemData":{"DOI":"10.1007/s11899-016-0310-9","ISSN":"1558822X","abstract":"Advances in therapy in multiple myeloma have resulted in significant improvements in patient outcomes; however, relapse remains problematic. Strategies to improve outcomes following autologous stem cell transplantation (ASCT) include consolidation to intensify therapy and improve depth of response and maintenance therapy to achieve long-term disease control. Immunomodulatory drugs (IMiDs), including thalidomide and lenalidomide, are appealing as maintenance therapy given their oral administration; however, the cumulative toxicities of thalidomide have limited its efficacy in maintenance therapy. Maintenance lenalidomide is better tolerated, and multiple studies have demonstrated an improvement in progression-free survival (PFS), but its impact on overall survival (OS) remains controversial. Additional concerns regarding the risk of second primary malignancies and significant cost of long-term lenalidomide therapy have also been raised. Proteasome inhibitors, particularly, bortezomib have also been incorporated in consolidation and maintenance regimens alone or in combination with an IMiD. Preliminary studies have suggested bortezomib maintenance may benefit patients with adverse cytogenetics, including t(4;14) and deletion 17p. Determination of the optimal consolidation and maintenance regimen and duration of therapy post-transplantation is a focus of several ongoing randomized studies.","author":[{"dropping-particle":"","family":"Nathwani","given":"Nitya","non-dropping-particle":"","parse-names":false,"suffix":""},{"dropping-particle":"","family":"Larsen","given":"Jeremy T.","non-dropping-particle":"","parse-names":false,"suffix":""},{"dropping-particle":"","family":"Kapoor","given":"Prashant","non-dropping-particle":"","parse-names":false,"suffix":""}],"container-title":"Current Hematologic Malignancy Reports","id":"ITEM-4","issue":"2","issued":{"date-parts":[["2016","4","1"]]},"page":"127-136","publisher":"Current Science Inc.","title":"Consolidation and Maintenance Therapies for Newly Diagnosed Multiple Myeloma in the Era of Novel Agents","type":"article","volume":"11"},"uris":["http://www.mendeley.com/documents/?uuid=009d2130-9b99-378a-b44c-5b74788bd4ae"]}],"mendeley":{"formattedCitation":"[48–51]","plainTextFormattedCitation":"[48–51]","previouslyFormattedCitation":"[48–51]"},"properties":{"noteIndex":0},"schema":"https://github.com/citation-style-language/schema/raw/master/csl-citation.json"}</w:instrText>
      </w:r>
      <w:r w:rsidR="00A96FB6" w:rsidRPr="001E16F8">
        <w:fldChar w:fldCharType="separate"/>
      </w:r>
      <w:r w:rsidR="00705691" w:rsidRPr="00705691">
        <w:rPr>
          <w:noProof/>
        </w:rPr>
        <w:t>[48–51]</w:t>
      </w:r>
      <w:r w:rsidR="00A96FB6" w:rsidRPr="001E16F8">
        <w:fldChar w:fldCharType="end"/>
      </w:r>
      <w:r w:rsidR="000F1BC7" w:rsidRPr="00021E5D">
        <w:t>.</w:t>
      </w:r>
    </w:p>
    <w:p w:rsidR="00C77FEF" w:rsidRDefault="00C77FEF" w:rsidP="00131E36">
      <w:pPr>
        <w:pStyle w:val="a5"/>
        <w:spacing w:before="0" w:after="0"/>
        <w:ind w:left="709"/>
        <w:rPr>
          <w:b/>
        </w:rPr>
      </w:pPr>
      <w:r w:rsidRPr="00912FAC">
        <w:rPr>
          <w:b/>
        </w:rPr>
        <w:t xml:space="preserve">Уровень убедительности рекомендаций </w:t>
      </w:r>
      <w:r w:rsidR="002535B4">
        <w:rPr>
          <w:b/>
        </w:rPr>
        <w:t xml:space="preserve">− </w:t>
      </w:r>
      <w:r w:rsidR="00F101D8">
        <w:rPr>
          <w:b/>
        </w:rPr>
        <w:t xml:space="preserve">С </w:t>
      </w:r>
      <w:r w:rsidRPr="00912FAC">
        <w:rPr>
          <w:b/>
        </w:rPr>
        <w:t>(уровень достоверности доказательств</w:t>
      </w:r>
      <w:r w:rsidR="00197001" w:rsidRPr="00197001">
        <w:rPr>
          <w:b/>
        </w:rPr>
        <w:t xml:space="preserve"> </w:t>
      </w:r>
      <w:r w:rsidR="002535B4">
        <w:rPr>
          <w:b/>
        </w:rPr>
        <w:t xml:space="preserve">− </w:t>
      </w:r>
      <w:r w:rsidR="00F101D8">
        <w:rPr>
          <w:b/>
        </w:rPr>
        <w:t>5</w:t>
      </w:r>
      <w:r w:rsidRPr="00912FAC">
        <w:rPr>
          <w:b/>
        </w:rPr>
        <w:t>)</w:t>
      </w:r>
    </w:p>
    <w:p w:rsidR="002535B4" w:rsidRDefault="001F641D" w:rsidP="00131E36">
      <w:pPr>
        <w:spacing w:before="0" w:after="0"/>
        <w:ind w:left="709"/>
        <w:contextualSpacing/>
        <w:rPr>
          <w:i/>
        </w:rPr>
      </w:pPr>
      <w:r w:rsidRPr="00912FAC">
        <w:rPr>
          <w:b/>
        </w:rPr>
        <w:t xml:space="preserve">Комментарий: </w:t>
      </w:r>
      <w:r w:rsidR="002535B4" w:rsidRPr="002535B4">
        <w:rPr>
          <w:i/>
        </w:rPr>
        <w:t>к</w:t>
      </w:r>
      <w:r w:rsidRPr="001F641D">
        <w:rPr>
          <w:i/>
        </w:rPr>
        <w:t>онсолидирующую терапию целесообразно начинать через 3 мес</w:t>
      </w:r>
      <w:r w:rsidR="00895437" w:rsidRPr="00971A8A">
        <w:rPr>
          <w:i/>
        </w:rPr>
        <w:t>.</w:t>
      </w:r>
      <w:r w:rsidRPr="001F641D">
        <w:rPr>
          <w:i/>
        </w:rPr>
        <w:t xml:space="preserve"> после ауто</w:t>
      </w:r>
      <w:r w:rsidR="00267DE2">
        <w:rPr>
          <w:i/>
        </w:rPr>
        <w:t>-</w:t>
      </w:r>
      <w:r w:rsidRPr="001F641D">
        <w:rPr>
          <w:i/>
        </w:rPr>
        <w:t xml:space="preserve">ТГСК, после получения результатов контрольного обследования, подтвердившего </w:t>
      </w:r>
      <w:r w:rsidRPr="003F5F1F">
        <w:rPr>
          <w:i/>
        </w:rPr>
        <w:t>отсутствие прогрессии заболевания. Консолидирующая терапия включает в себя</w:t>
      </w:r>
      <w:r w:rsidR="006D0F6C" w:rsidRPr="003F5F1F">
        <w:rPr>
          <w:i/>
        </w:rPr>
        <w:t xml:space="preserve"> проведение 2</w:t>
      </w:r>
      <w:r w:rsidR="002535B4">
        <w:rPr>
          <w:i/>
        </w:rPr>
        <w:t>−</w:t>
      </w:r>
      <w:r w:rsidR="006D0F6C" w:rsidRPr="003F5F1F">
        <w:rPr>
          <w:i/>
        </w:rPr>
        <w:t>3</w:t>
      </w:r>
      <w:r w:rsidRPr="003F5F1F">
        <w:rPr>
          <w:i/>
        </w:rPr>
        <w:t xml:space="preserve"> курсов </w:t>
      </w:r>
      <w:r w:rsidRPr="001F641D">
        <w:rPr>
          <w:i/>
        </w:rPr>
        <w:t>(например, VCD, VRD). Одним из вариантов консолидирующего лечения</w:t>
      </w:r>
      <w:r w:rsidR="002905FE">
        <w:rPr>
          <w:i/>
        </w:rPr>
        <w:t xml:space="preserve"> у пациентов, у которых было собрано достаточное количество </w:t>
      </w:r>
      <w:r w:rsidR="002535B4">
        <w:rPr>
          <w:i/>
        </w:rPr>
        <w:t>ГСК</w:t>
      </w:r>
      <w:r w:rsidR="002905FE">
        <w:rPr>
          <w:i/>
        </w:rPr>
        <w:t>,</w:t>
      </w:r>
      <w:r w:rsidRPr="001F641D">
        <w:rPr>
          <w:i/>
        </w:rPr>
        <w:t xml:space="preserve"> может рассматриваться </w:t>
      </w:r>
      <w:r w:rsidR="002535B4">
        <w:rPr>
          <w:i/>
        </w:rPr>
        <w:t>2-</w:t>
      </w:r>
      <w:r w:rsidRPr="001F641D">
        <w:rPr>
          <w:i/>
        </w:rPr>
        <w:t>я (</w:t>
      </w:r>
      <w:r>
        <w:rPr>
          <w:i/>
        </w:rPr>
        <w:t xml:space="preserve">тандемная) </w:t>
      </w:r>
      <w:r w:rsidRPr="001F641D">
        <w:rPr>
          <w:i/>
        </w:rPr>
        <w:t>ауто</w:t>
      </w:r>
      <w:r w:rsidR="00267DE2">
        <w:rPr>
          <w:i/>
        </w:rPr>
        <w:t>-</w:t>
      </w:r>
      <w:r w:rsidRPr="001F641D">
        <w:rPr>
          <w:i/>
        </w:rPr>
        <w:t>ТГСК. Вопрос о необходимости проведения консолидации решается в трансплантационном центре</w:t>
      </w:r>
    </w:p>
    <w:p w:rsidR="00EE2530" w:rsidRDefault="00EE2530" w:rsidP="00E36DFA">
      <w:pPr>
        <w:spacing w:before="0" w:after="0"/>
        <w:ind w:left="709"/>
        <w:contextualSpacing/>
        <w:rPr>
          <w:rStyle w:val="ab"/>
          <w:u w:val="single"/>
        </w:rPr>
      </w:pPr>
      <w:r>
        <w:rPr>
          <w:rStyle w:val="ab"/>
          <w:u w:val="single"/>
        </w:rPr>
        <w:t>3.3.4</w:t>
      </w:r>
      <w:r w:rsidR="003F5F1F" w:rsidRPr="00B2686F">
        <w:rPr>
          <w:rStyle w:val="ab"/>
          <w:u w:val="single"/>
        </w:rPr>
        <w:t xml:space="preserve"> </w:t>
      </w:r>
      <w:r>
        <w:rPr>
          <w:rStyle w:val="ab"/>
          <w:u w:val="single"/>
        </w:rPr>
        <w:t>Этап поддерживающей терапии</w:t>
      </w:r>
    </w:p>
    <w:p w:rsidR="00BB211A" w:rsidRDefault="00BB211A" w:rsidP="00E36DFA">
      <w:pPr>
        <w:pStyle w:val="a3"/>
        <w:spacing w:before="0" w:beforeAutospacing="0" w:after="0" w:afterAutospacing="0" w:line="360" w:lineRule="auto"/>
        <w:ind w:left="709"/>
        <w:contextualSpacing/>
        <w:jc w:val="both"/>
      </w:pPr>
      <w:r w:rsidRPr="00AC3713">
        <w:rPr>
          <w:i/>
        </w:rPr>
        <w:t xml:space="preserve">В настоящее время рядом крупных многоцентровых исследований показано значение поддерживающей терапии, назначаемой после </w:t>
      </w:r>
      <w:r w:rsidR="002535B4">
        <w:rPr>
          <w:i/>
        </w:rPr>
        <w:t>1-</w:t>
      </w:r>
      <w:r w:rsidRPr="00AC3713">
        <w:rPr>
          <w:i/>
        </w:rPr>
        <w:t xml:space="preserve">й или </w:t>
      </w:r>
      <w:r w:rsidR="002535B4">
        <w:rPr>
          <w:i/>
        </w:rPr>
        <w:t>2-</w:t>
      </w:r>
      <w:r w:rsidRPr="00AC3713">
        <w:rPr>
          <w:i/>
        </w:rPr>
        <w:t>й ауто</w:t>
      </w:r>
      <w:r w:rsidR="00267DE2">
        <w:rPr>
          <w:i/>
        </w:rPr>
        <w:t>-</w:t>
      </w:r>
      <w:r w:rsidRPr="00AC3713">
        <w:rPr>
          <w:i/>
        </w:rPr>
        <w:t>ТГСК. При этом в качестве терапевтических препаратов рассматриваются бортезомиб</w:t>
      </w:r>
      <w:r w:rsidR="0063182A">
        <w:rPr>
          <w:i/>
        </w:rPr>
        <w:t>**</w:t>
      </w:r>
      <w:r w:rsidRPr="00AC3713">
        <w:rPr>
          <w:i/>
        </w:rPr>
        <w:t xml:space="preserve"> в дозе 1,3 мг/м</w:t>
      </w:r>
      <w:r w:rsidRPr="00BB211A">
        <w:rPr>
          <w:i/>
          <w:vertAlign w:val="superscript"/>
        </w:rPr>
        <w:t>2</w:t>
      </w:r>
      <w:r w:rsidRPr="00AC3713">
        <w:rPr>
          <w:i/>
        </w:rPr>
        <w:t xml:space="preserve"> каждые 2 нед</w:t>
      </w:r>
      <w:r w:rsidR="009F1549" w:rsidRPr="009F1549">
        <w:rPr>
          <w:i/>
        </w:rPr>
        <w:t>.</w:t>
      </w:r>
      <w:r w:rsidRPr="00AC3713">
        <w:rPr>
          <w:i/>
        </w:rPr>
        <w:t xml:space="preserve"> в течение 2 лет или до прогрессии и </w:t>
      </w:r>
      <w:bookmarkStart w:id="29" w:name="_Hlk6498165"/>
      <w:r w:rsidRPr="00AC3713">
        <w:rPr>
          <w:i/>
        </w:rPr>
        <w:t>леналидомид</w:t>
      </w:r>
      <w:r w:rsidR="0063182A">
        <w:rPr>
          <w:i/>
        </w:rPr>
        <w:t>**</w:t>
      </w:r>
      <w:r w:rsidRPr="00AC3713">
        <w:rPr>
          <w:i/>
        </w:rPr>
        <w:t xml:space="preserve"> в дозе 10</w:t>
      </w:r>
      <w:r w:rsidR="002535B4">
        <w:rPr>
          <w:i/>
        </w:rPr>
        <w:t>−</w:t>
      </w:r>
      <w:r w:rsidRPr="00AC3713">
        <w:rPr>
          <w:i/>
        </w:rPr>
        <w:t>15 мг/сут в течение 1</w:t>
      </w:r>
      <w:r w:rsidR="002535B4">
        <w:rPr>
          <w:i/>
        </w:rPr>
        <w:t>−</w:t>
      </w:r>
      <w:r w:rsidRPr="00AC3713">
        <w:rPr>
          <w:i/>
        </w:rPr>
        <w:t>2 лет или до прогрессии</w:t>
      </w:r>
      <w:bookmarkEnd w:id="29"/>
      <w:r w:rsidRPr="00AC3713">
        <w:rPr>
          <w:i/>
        </w:rPr>
        <w:t>. Исследовательские центры представляют убедительные данные по увеличению показателей ВБП, ВДП и ОВ.</w:t>
      </w:r>
    </w:p>
    <w:p w:rsidR="008434FF" w:rsidRPr="00F101D8" w:rsidRDefault="00141689" w:rsidP="00131E36">
      <w:pPr>
        <w:pStyle w:val="a5"/>
        <w:numPr>
          <w:ilvl w:val="0"/>
          <w:numId w:val="5"/>
        </w:numPr>
        <w:spacing w:before="0" w:after="0"/>
        <w:ind w:left="709"/>
        <w:rPr>
          <w:b/>
        </w:rPr>
      </w:pPr>
      <w:r>
        <w:t>Для пациентов</w:t>
      </w:r>
      <w:r w:rsidR="00EE2530">
        <w:t xml:space="preserve"> ММ в возрасте до 65</w:t>
      </w:r>
      <w:r>
        <w:t xml:space="preserve"> лет</w:t>
      </w:r>
      <w:r w:rsidR="00EE2530">
        <w:t>, а также пациентам 65</w:t>
      </w:r>
      <w:r w:rsidR="00B21759">
        <w:t>−</w:t>
      </w:r>
      <w:r w:rsidR="00EE2530">
        <w:t>70 лет с хорошим соматическим статусом без тяжелых сопутствующих заболеваний,</w:t>
      </w:r>
      <w:r w:rsidR="008434FF">
        <w:t xml:space="preserve"> ответивших на индукционную терапию бортезомибом</w:t>
      </w:r>
      <w:r>
        <w:t>**</w:t>
      </w:r>
      <w:r w:rsidR="00474959">
        <w:t xml:space="preserve"> (достигнута по крайней мере </w:t>
      </w:r>
      <w:r w:rsidR="00B21759">
        <w:t>ЧР</w:t>
      </w:r>
      <w:r w:rsidR="00474959">
        <w:t xml:space="preserve"> после 4</w:t>
      </w:r>
      <w:r w:rsidR="00B21759">
        <w:t>−</w:t>
      </w:r>
      <w:r w:rsidR="00474959">
        <w:t>6 циклов бортезомибсодержащей терапии)</w:t>
      </w:r>
      <w:r w:rsidR="008434FF">
        <w:t>,</w:t>
      </w:r>
      <w:r w:rsidR="00B21759">
        <w:t xml:space="preserve"> </w:t>
      </w:r>
      <w:r w:rsidR="00EE2530">
        <w:t>после выполнения ВДХТ, одной или тандемной ауто</w:t>
      </w:r>
      <w:r w:rsidR="00267DE2">
        <w:t>-</w:t>
      </w:r>
      <w:r w:rsidR="00EE2530">
        <w:t>ТГСК и</w:t>
      </w:r>
      <w:r w:rsidR="00E743CD">
        <w:t xml:space="preserve"> консолидирующей терапии </w:t>
      </w:r>
      <w:r w:rsidR="00E743CD" w:rsidRPr="008434FF">
        <w:t>(если она проводилась)</w:t>
      </w:r>
      <w:r w:rsidR="000A156C">
        <w:t xml:space="preserve"> </w:t>
      </w:r>
      <w:r w:rsidR="00EE2530" w:rsidRPr="008434FF">
        <w:rPr>
          <w:b/>
        </w:rPr>
        <w:t>рекомен</w:t>
      </w:r>
      <w:r w:rsidR="00FF0C02">
        <w:rPr>
          <w:b/>
        </w:rPr>
        <w:t>дуется</w:t>
      </w:r>
      <w:r w:rsidR="000A156C">
        <w:rPr>
          <w:b/>
        </w:rPr>
        <w:t xml:space="preserve"> </w:t>
      </w:r>
      <w:r w:rsidR="00E743CD" w:rsidRPr="008434FF">
        <w:t>проведение поддерживающей терапии</w:t>
      </w:r>
      <w:r w:rsidR="000A156C">
        <w:t xml:space="preserve"> </w:t>
      </w:r>
      <w:r w:rsidR="00AC3713" w:rsidRPr="008434FF">
        <w:t>бортезомибом</w:t>
      </w:r>
      <w:r>
        <w:t>**</w:t>
      </w:r>
      <w:r w:rsidR="00474959" w:rsidRPr="00474959">
        <w:t xml:space="preserve">в дозе </w:t>
      </w:r>
      <w:r w:rsidR="00474959" w:rsidRPr="00F101D8">
        <w:t>1,3</w:t>
      </w:r>
      <w:r w:rsidR="00B21759" w:rsidRPr="00F101D8">
        <w:t> </w:t>
      </w:r>
      <w:r w:rsidR="00474959" w:rsidRPr="00A26662">
        <w:t>мг/м</w:t>
      </w:r>
      <w:r w:rsidR="00474959" w:rsidRPr="00A26662">
        <w:rPr>
          <w:vertAlign w:val="superscript"/>
        </w:rPr>
        <w:t>2</w:t>
      </w:r>
      <w:r w:rsidR="00474959" w:rsidRPr="00A26662">
        <w:t xml:space="preserve"> каждые 2 нед в течение 2</w:t>
      </w:r>
      <w:r w:rsidR="00B21759" w:rsidRPr="00A26662">
        <w:t xml:space="preserve"> </w:t>
      </w:r>
      <w:r w:rsidR="00474959" w:rsidRPr="00A26662">
        <w:t xml:space="preserve">лет или до прогрессии </w:t>
      </w:r>
      <w:r w:rsidR="008434FF" w:rsidRPr="00A26662">
        <w:t>с целью подавления пролиферации остаточного клона опухолевых клеток и пред</w:t>
      </w:r>
      <w:r w:rsidR="001A0F52" w:rsidRPr="00BF55DF">
        <w:t>упреждения рецидива заболевания</w:t>
      </w:r>
      <w:r w:rsidR="003F5F1F" w:rsidRPr="00BF55DF">
        <w:t xml:space="preserve"> </w:t>
      </w:r>
      <w:r w:rsidR="00A96FB6" w:rsidRPr="00F101D8">
        <w:fldChar w:fldCharType="begin" w:fldLock="1"/>
      </w:r>
      <w:r w:rsidR="00F74B6B">
        <w:instrText>ADDIN CSL_CITATION {"citationItems":[{"id":"ITEM-1","itemData":{"DOI":"10.1200/JCO.2011.39.6820","ISSN":"0732183X","abstract":"Purpose: We investigated whether bortezomib during induction and maintenance improves survival in newly diagnosed multiple myeloma (MM). Patients and Methods: In all, 827 eligible patients with newly diagnosed symptomatic MM were randomly assigned to receive induction therapy with vincristine, doxorubicin, and dexamethasone (VAD) or bortezomib, doxorubicin, and dexamethasone (PAD) followed by high-dose melphalan and autologous stemcell transplantation. Maintenance consisted of thalidomide 50 mg (VAD) once per day or bortezomib 1.3 mg/m2 (PAD) once every 2 weeks for 2 years. The primary analysis was progression-free survival (PFS) adjusted for International Staging System (ISS) stage. Results: Complete response (CR), including near CR, was superior after PAD induction (15% v 31%; P &lt; .001) and bortezomib maintenance (34% v 49%; P &lt; .001). After a median follow-up of 41 months, PFS was superior in the PAD arm (median of 28 months v 35 months; hazard ratio [HR], 0.75; 95% CI, 0.62 to 0.90; P = .002). In multivariate analysis, overall survival (OS) was better in the PAD arm (HR, 0.77; 95% CI, 0.60 to 1.00; P = .049). In high-risk patients presenting with increased creatinine more than 2 mg/dL, bortezomib significantly improved PFS from a median of 13 months to 30 months (HR, 0.45; 95% CI, 0.26 to 0.78; P = .004) and OS from a median of 21 months to 54 months (HR, 0.33; 95% CI, 0.16 to 0.65; P &lt; .001). A benefit was also observed in patients with deletion 17p13 (median PFS, 12 v 22 months; HR, 0.47;95%CI, 0.26 to 0.86; P = .01; median OS, 24 months v not reached at 54 months; HR, 0.36; 95% CI, 0.18 to 0.74; P = .003). Conclusion: Bortezomib during induction and maintenance improves CR and achieves superior PFS and OS. © 2012 by American Society of Clinical Oncology.","author":[{"dropping-particle":"","family":"Sonneveld","given":"Pieter","non-dropping-particle":"","parse-names":false,"suffix":""},{"dropping-particle":"","family":"Schmidt-Wolf","given":"Ingo G.H.","non-dropping-particle":"","parse-names":false,"suffix":""},{"dropping-particle":"","family":"Holt","given":"Bronno","non-dropping-particle":"Van Der","parse-names":false,"suffix":""},{"dropping-particle":"","family":"Jarari","given":"Laila","non-dropping-particle":"El","parse-names":false,"suffix":""},{"dropping-particle":"","family":"Bertsch","given":"Uta","non-dropping-particle":"","parse-names":false,"suffix":""},{"dropping-particle":"","family":"Salwender","given":"Hans","non-dropping-particle":"","parse-names":false,"suffix":""},{"dropping-particle":"","family":"Zweegman","given":"Sonja","non-dropping-particle":"","parse-names":false,"suffix":""},{"dropping-particle":"","family":"Vellenga","given":"Edo","non-dropping-particle":"","parse-names":false,"suffix":""},{"dropping-particle":"","family":"Broyl","given":"Annemiek","non-dropping-particle":"","parse-names":false,"suffix":""},{"dropping-particle":"","family":"Blau","given":"Igor W.","non-dropping-particle":"","parse-names":false,"suffix":""},{"dropping-particle":"","family":"Weisel","given":"Katja C.","non-dropping-particle":"","parse-names":false,"suffix":""},{"dropping-particle":"","family":"Wittebol","given":"Shulamiet","non-dropping-particle":"","parse-names":false,"suffix":""},{"dropping-particle":"","family":"Bos","given":"Gerard M.J.","non-dropping-particle":"","parse-names":false,"suffix":""},{"dropping-particle":"","family":"Stevens-Kroef","given":"Marian","non-dropping-particle":"","parse-names":false,"suffix":""},{"dropping-particle":"","family":"Scheid","given":"Christof","non-dropping-particle":"","parse-names":false,"suffix":""},{"dropping-particle":"","family":"Pfreundschuh","given":"Michael","non-dropping-particle":"","parse-names":false,"suffix":""},{"dropping-particle":"","family":"Hose","given":"Dirk","non-dropping-particle":"","parse-names":false,"suffix":""},{"dropping-particle":"","family":"Jauch","given":"Anna","non-dropping-particle":"","parse-names":false,"suffix":""},{"dropping-particle":"","family":"Velde","given":"Helgi","non-dropping-particle":"Van Der","parse-names":false,"suffix":""},{"dropping-particle":"","family":"Raymakers","given":"Reinier","non-dropping-particle":"","parse-names":false,"suffix":""},{"dropping-particle":"","family":"Schaafsma","given":"Martijn R.","non-dropping-particle":"","parse-names":false,"suffix":""},{"dropping-particle":"","family":"Kersten","given":"Marie Jose","non-dropping-particle":"","parse-names":false,"suffix":""},{"dropping-particle":"","family":"Marwijk-Kooy","given":"Marinus","non-dropping-particle":"Van","parse-names":false,"suffix":""},{"dropping-particle":"","family":"Duehrsen","given":"Ulrich","non-dropping-particle":"","parse-names":false,"suffix":""},{"dropping-particle":"","family":"Lindemann","given":"Walter","non-dropping-particle":"","parse-names":false,"suffix":""},{"dropping-particle":"","family":"Wijermans","given":"Pierre W.","non-dropping-particle":"","parse-names":false,"suffix":""},{"dropping-particle":"","family":"Lokhorst","given":"Henk M.","non-dropping-particle":"","parse-names":false,"suffix":""},{"dropping-particle":"","family":"Goldschmidt","given":"Hartmut M.","non-dropping-particle":"","parse-names":false,"suffix":""}],"container-title":"Journal of Clinical Oncology","id":"ITEM-1","issue":"24","issued":{"date-parts":[["2012","8","20"]]},"page":"2946-2955","title":"Bortezomib induction and maintenance treatment in patients with newly diagnosed multiple myeloma: Results of the randomized phase III HOVON-65/ GMMG-HD4 trial","type":"article-journal","volume":"30"},"uris":["http://www.mendeley.com/documents/?uuid=ffdfec80-b760-3646-a8e8-857d3764dca6"]}],"mendeley":{"formattedCitation":"[52]","plainTextFormattedCitation":"[52]","previouslyFormattedCitation":"[52]"},"properties":{"noteIndex":0},"schema":"https://github.com/citation-style-language/schema/raw/master/csl-citation.json"}</w:instrText>
      </w:r>
      <w:r w:rsidR="00A96FB6" w:rsidRPr="00F101D8">
        <w:fldChar w:fldCharType="separate"/>
      </w:r>
      <w:r w:rsidR="00705691" w:rsidRPr="00705691">
        <w:rPr>
          <w:noProof/>
        </w:rPr>
        <w:t>[52]</w:t>
      </w:r>
      <w:r w:rsidR="00A96FB6" w:rsidRPr="00F101D8">
        <w:fldChar w:fldCharType="end"/>
      </w:r>
      <w:r w:rsidR="001A0F52" w:rsidRPr="00F101D8">
        <w:t>.</w:t>
      </w:r>
    </w:p>
    <w:p w:rsidR="00EE2530" w:rsidRPr="002473A8" w:rsidRDefault="002473A8" w:rsidP="00131E36">
      <w:pPr>
        <w:pStyle w:val="a5"/>
        <w:spacing w:before="0" w:after="0"/>
        <w:ind w:left="709"/>
        <w:rPr>
          <w:b/>
        </w:rPr>
      </w:pPr>
      <w:r w:rsidRPr="00A26662">
        <w:rPr>
          <w:b/>
        </w:rPr>
        <w:t>Уровень убедительности рекомендаций</w:t>
      </w:r>
      <w:r w:rsidRPr="00BB211A">
        <w:rPr>
          <w:b/>
        </w:rPr>
        <w:t xml:space="preserve"> </w:t>
      </w:r>
      <w:r w:rsidR="00B21759">
        <w:rPr>
          <w:b/>
        </w:rPr>
        <w:t xml:space="preserve">− </w:t>
      </w:r>
      <w:r w:rsidR="001A0F52" w:rsidRPr="00BB211A">
        <w:rPr>
          <w:b/>
        </w:rPr>
        <w:t xml:space="preserve">A </w:t>
      </w:r>
      <w:r w:rsidRPr="00BB211A">
        <w:rPr>
          <w:b/>
        </w:rPr>
        <w:t>(уровень достоверности доказательств</w:t>
      </w:r>
      <w:r w:rsidR="003F5F1F" w:rsidRPr="003F5F1F">
        <w:rPr>
          <w:b/>
        </w:rPr>
        <w:t xml:space="preserve"> </w:t>
      </w:r>
      <w:r w:rsidR="00B21759">
        <w:rPr>
          <w:b/>
        </w:rPr>
        <w:t xml:space="preserve">− </w:t>
      </w:r>
      <w:r w:rsidR="001A0F52" w:rsidRPr="00BB211A">
        <w:rPr>
          <w:b/>
        </w:rPr>
        <w:t>2</w:t>
      </w:r>
      <w:r w:rsidRPr="00BB211A">
        <w:rPr>
          <w:b/>
        </w:rPr>
        <w:t>)</w:t>
      </w:r>
    </w:p>
    <w:p w:rsidR="00AC3713" w:rsidRPr="00AC3713" w:rsidRDefault="00EE2530" w:rsidP="00131E36">
      <w:pPr>
        <w:spacing w:before="0" w:after="0"/>
        <w:ind w:left="709"/>
        <w:contextualSpacing/>
        <w:rPr>
          <w:i/>
        </w:rPr>
      </w:pPr>
      <w:r w:rsidRPr="00912FAC">
        <w:rPr>
          <w:b/>
        </w:rPr>
        <w:lastRenderedPageBreak/>
        <w:t xml:space="preserve">Комментарий: </w:t>
      </w:r>
      <w:r w:rsidR="003F5F1F" w:rsidRPr="00AC3713">
        <w:rPr>
          <w:i/>
        </w:rPr>
        <w:t xml:space="preserve">согласно </w:t>
      </w:r>
      <w:r w:rsidR="00AC3713" w:rsidRPr="00AC3713">
        <w:rPr>
          <w:i/>
        </w:rPr>
        <w:t>IMWG поддерживающая терапия бортезомибом</w:t>
      </w:r>
      <w:r w:rsidR="00141689">
        <w:rPr>
          <w:i/>
        </w:rPr>
        <w:t>**</w:t>
      </w:r>
      <w:r w:rsidR="00AC3713" w:rsidRPr="00AC3713">
        <w:rPr>
          <w:i/>
        </w:rPr>
        <w:t xml:space="preserve"> целесообразна только в случаях достижения ответа на препарат на этапе индукции, однако длительное применение препарата после ауто</w:t>
      </w:r>
      <w:r w:rsidR="00267DE2">
        <w:rPr>
          <w:i/>
        </w:rPr>
        <w:t>-</w:t>
      </w:r>
      <w:r w:rsidR="00AC3713" w:rsidRPr="00AC3713">
        <w:rPr>
          <w:i/>
        </w:rPr>
        <w:t>ТГСК (в течение 2</w:t>
      </w:r>
      <w:r w:rsidR="00B21759">
        <w:rPr>
          <w:i/>
        </w:rPr>
        <w:t> </w:t>
      </w:r>
      <w:r w:rsidR="00AC3713" w:rsidRPr="00AC3713">
        <w:rPr>
          <w:i/>
        </w:rPr>
        <w:t xml:space="preserve">лет) потребует редукции дозы препарата у </w:t>
      </w:r>
      <w:r w:rsidR="00B21759">
        <w:rPr>
          <w:i/>
        </w:rPr>
        <w:t>1/3</w:t>
      </w:r>
      <w:r w:rsidR="00AC3713" w:rsidRPr="00AC3713">
        <w:rPr>
          <w:i/>
        </w:rPr>
        <w:t xml:space="preserve"> </w:t>
      </w:r>
      <w:r w:rsidR="00FB03BB" w:rsidRPr="00FB03BB">
        <w:rPr>
          <w:i/>
        </w:rPr>
        <w:t>пациентов</w:t>
      </w:r>
      <w:r w:rsidR="00AC3713" w:rsidRPr="00AC3713">
        <w:rPr>
          <w:i/>
        </w:rPr>
        <w:t>. Группа HOVON показала, что поддерживающая терапия бортезомибом</w:t>
      </w:r>
      <w:r w:rsidR="00141689">
        <w:rPr>
          <w:i/>
        </w:rPr>
        <w:t>**</w:t>
      </w:r>
      <w:r w:rsidR="00AC3713" w:rsidRPr="00AC3713">
        <w:rPr>
          <w:i/>
        </w:rPr>
        <w:t xml:space="preserve"> после ауто</w:t>
      </w:r>
      <w:r w:rsidR="00267DE2">
        <w:rPr>
          <w:i/>
        </w:rPr>
        <w:t>-</w:t>
      </w:r>
      <w:r w:rsidR="00AC3713" w:rsidRPr="00AC3713">
        <w:rPr>
          <w:i/>
        </w:rPr>
        <w:t>ТГСК эффективна у пациентов с del17p.</w:t>
      </w:r>
    </w:p>
    <w:p w:rsidR="00BB211A" w:rsidRPr="00BB211A" w:rsidRDefault="000C2F12" w:rsidP="00131E36">
      <w:pPr>
        <w:pStyle w:val="a5"/>
        <w:numPr>
          <w:ilvl w:val="0"/>
          <w:numId w:val="5"/>
        </w:numPr>
        <w:spacing w:before="0" w:after="0"/>
        <w:ind w:left="709"/>
      </w:pPr>
      <w:r w:rsidRPr="000C2F12">
        <w:t>Для пациентов ММ в возрасте до 65 лет, а также пациентам 65</w:t>
      </w:r>
      <w:r w:rsidR="00B21759">
        <w:t>−</w:t>
      </w:r>
      <w:r w:rsidRPr="000C2F12">
        <w:t>70 лет с хорошим соматическим статусом без тяжелых сопутствующих заболеваний после выполнения ВДХТ, одной или тандемной ауто</w:t>
      </w:r>
      <w:r w:rsidR="00267DE2">
        <w:t>-</w:t>
      </w:r>
      <w:r w:rsidRPr="000C2F12">
        <w:t xml:space="preserve">ТГСК и консолидирующей терапии (если она проводилась), </w:t>
      </w:r>
      <w:r w:rsidRPr="000C2F12">
        <w:rPr>
          <w:b/>
          <w:bCs/>
        </w:rPr>
        <w:t>рекомендуется</w:t>
      </w:r>
      <w:r w:rsidRPr="000C2F12">
        <w:t xml:space="preserve"> проведение поддерживающей терапии леналидомидом** в дозе 10</w:t>
      </w:r>
      <w:r w:rsidR="003C3A69">
        <w:t>−</w:t>
      </w:r>
      <w:r w:rsidRPr="000C2F12">
        <w:t>15 мг/сут в течение 1</w:t>
      </w:r>
      <w:r w:rsidR="003C3A69">
        <w:t>−</w:t>
      </w:r>
      <w:r w:rsidRPr="000C2F12">
        <w:t>2 лет или до прогрессии с целью подавления пролиферации остаточного клона опухолевых клеток и предупреждения рецидива заболевания</w:t>
      </w:r>
      <w:r w:rsidR="003F5F1F" w:rsidRPr="003F5F1F">
        <w:t xml:space="preserve"> </w:t>
      </w:r>
      <w:r w:rsidR="00A96FB6">
        <w:fldChar w:fldCharType="begin" w:fldLock="1"/>
      </w:r>
      <w:r w:rsidR="00F74B6B">
        <w:instrText>ADDIN CSL_CITATION {"citationItems":[{"id":"ITEM-1","itemData":{"DOI":"10.1056/NEJMoa1114083","ISSN":"1533-4406","PMID":"22571201","abstract":"BACKGROUND Data are lacking on whether lenalidomide maintenance therapy prolongs the time to disease progression after autologous hematopoietic stem-cell transplantation in patients with multiple myeloma. METHODS Between April 2005 and July 2009, we randomly assigned 460 patients who were younger than 71 years of age and had stable disease or a marginal, partial, or complete response 100 days after undergoing stem-cell transplantation to lenalidomide or placebo, which was administered until disease progression. The starting dose of lenalidomide was 10 mg per day (range, 5 to 15). RESULTS The study-drug assignments were unblinded in 2009, when a planned interim analysis showed a significantly longer time to disease progression in the lenalidomide group. At unblinding, 20% of patients who received lenalidomide and 44% of patients who received placebo had progressive disease or had died (P&lt;0.001); of the remaining 128 patients who received placebo and who did not have progressive disease, 86 crossed over to lenalidomide. At a median follow-up of 34 months, 86 of 231 patients who received lenalidomide (37%) and 132 of 229 patients who received placebo (58%) had disease progression or had died. The median time to progression was 46 months in the lenalidomide group and 27 months in the placebo group (P&lt;0.001). A total of 35 patients who received lenalidomide (15%) and 53 patients who received placebo (23%) died (P=0.03). More grade 3 or 4 hematologic adverse events and grade 3 nonhematologic adverse events occurred in patients who received lenalidomide (P&lt;0.001 for both comparisons). Second primary cancers occurred in 18 patients who received lenalidomide (8%) and 6 patients who received placebo (3%). CONCLUSIONS Lenalidomide maintenance therapy, initiated at day 100 after hematopoietic stem-cell transplantation, was associated with more toxicity and second cancers but a significantly longer time to disease progression and significantly improved overall survival among patients with myeloma. (Funded by the National Cancer Institute; ClinicalTrials.gov number, NCT00114101.).","author":[{"dropping-particle":"","family":"McCarthy","given":"Philip L","non-dropping-particle":"","parse-names":false,"suffix":""},{"dropping-particle":"","family":"Owzar","given":"Kouros","non-dropping-particle":"","parse-names":false,"suffix":""},{"dropping-particle":"","family":"Hofmeister","given":"Craig C","non-dropping-particle":"","parse-names":false,"suffix":""},{"dropping-particle":"","family":"Hurd","given":"David D","non-dropping-particle":"","parse-names":false,"suffix":""},{"dropping-particle":"","family":"Hassoun","given":"Hani","non-dropping-particle":"","parse-names":false,"suffix":""},{"dropping-particle":"","family":"Richardson","given":"Paul G","non-dropping-particle":"","parse-names":false,"suffix":""},{"dropping-particle":"","family":"Giralt","given":"Sergio","non-dropping-particle":"","parse-names":false,"suffix":""},{"dropping-particle":"","family":"Stadtmauer","given":"Edward A","non-dropping-particle":"","parse-names":false,"suffix":""},{"dropping-particle":"","family":"Weisdorf","given":"Daniel J","non-dropping-particle":"","parse-names":false,"suffix":""},{"dropping-particle":"","family":"Vij","given":"Ravi","non-dropping-particle":"","parse-names":false,"suffix":""},{"dropping-particle":"","family":"Moreb","given":"Jan S","non-dropping-particle":"","parse-names":false,"suffix":""},{"dropping-particle":"","family":"Callander","given":"Natalie Scott","non-dropping-particle":"","parse-names":false,"suffix":""},{"dropping-particle":"","family":"Besien","given":"Koen","non-dropping-particle":"Van","parse-names":false,"suffix":""},{"dropping-particle":"","family":"Gentile","given":"Teresa","non-dropping-particle":"","parse-names":false,"suffix":""},{"dropping-particle":"","family":"Isola","given":"Luis","non-dropping-particle":"","parse-names":false,"suffix":""},{"dropping-particle":"","family":"Maziarz","given":"Richard T","non-dropping-particle":"","parse-names":false,"suffix":""},{"dropping-particle":"","family":"Gabriel","given":"Don A","non-dropping-particle":"","parse-names":false,"suffix":""},{"dropping-particle":"","family":"Bashey","given":"Asad","non-dropping-particle":"","parse-names":false,"suffix":""},{"dropping-particle":"","family":"Landau","given":"Heather","non-dropping-particle":"","parse-names":false,"suffix":""},{"dropping-particle":"","family":"Martin","given":"Thomas","non-dropping-particle":"","parse-names":false,"suffix":""},{"dropping-particle":"","family":"Qazilbash","given":"Muzaffar H","non-dropping-particle":"","parse-names":false,"suffix":""},{"dropping-particle":"","family":"Levitan","given":"Denise","non-dropping-particle":"","parse-names":false,"suffix":""},{"dropping-particle":"","family":"McClune","given":"Brian","non-dropping-particle":"","parse-names":false,"suffix":""},{"dropping-particle":"","family":"Schlossman","given":"Robert","non-dropping-particle":"","parse-names":false,"suffix":""},{"dropping-particle":"","family":"Hars","given":"Vera","non-dropping-particle":"","parse-names":false,"suffix":""},{"dropping-particle":"","family":"Postiglione","given":"John","non-dropping-particle":"","parse-names":false,"suffix":""},{"dropping-particle":"","family":"Jiang","given":"Chen","non-dropping-particle":"","parse-names":false,"suffix":""},{"dropping-particle":"","family":"Bennett","given":"Elizabeth","non-dropping-particle":"","parse-names":false,"suffix":""},{"dropping-particle":"","family":"Barry","given":"Susan","non-dropping-particle":"","parse-names":false,"suffix":""},{"dropping-particle":"","family":"Bressler","given":"Linda","non-dropping-particle":"","parse-names":false,"suffix":""},{"dropping-particle":"","family":"Kelly","given":"Michael","non-dropping-particle":"","parse-names":false,"suffix":""},{"dropping-particle":"","family":"Seiler","given":"Michele","non-dropping-particle":"","parse-names":false,"suffix":""},{"dropping-particle":"","family":"Rosenbaum","given":"Cara","non-dropping-particle":"","parse-names":false,"suffix":""},{"dropping-particle":"","family":"Hari","given":"Parameswaran","non-dropping-particle":"","parse-names":false,"suffix":""},{"dropping-particle":"","family":"Pasquini","given":"Marcelo C","non-dropping-particle":"","parse-names":false,"suffix":""},{"dropping-particle":"","family":"Horowitz","given":"Mary M","non-dropping-particle":"","parse-names":false,"suffix":""},{"dropping-particle":"","family":"Shea","given":"Thomas C","non-dropping-particle":"","parse-names":false,"suffix":""},{"dropping-particle":"","family":"Devine","given":"Steven M","non-dropping-particle":"","parse-names":false,"suffix":""},{"dropping-particle":"","family":"Anderson","given":"Kenneth C","non-dropping-particle":"","parse-names":false,"suffix":""},{"dropping-particle":"","family":"Linker","given":"Charles","non-dropping-particle":"","parse-names":false,"suffix":""}],"container-title":"The New England journal of medicine","id":"ITEM-1","issue":"19","issued":{"date-parts":[["2012","5","10"]]},"page":"1770-81","title":"Lenalidomide after stem-cell transplantation for multiple myeloma.","type":"article-journal","volume":"366"},"uris":["http://www.mendeley.com/documents/?uuid=fead0d63-46b5-37bc-8c9c-4e4c7accc627"]},{"id":"ITEM-2","itemData":{"DOI":"10.1056/NEJMoa1114138","ISSN":"1533-4406","PMID":"22571202","abstract":"BACKGROUND High-dose chemotherapy with autologous stem-cell transplantation is a standard treatment for young patients with multiple myeloma. Residual disease is almost always present after transplantation and is responsible for relapse. This phase 3, placebo-controlled trial investigated the efficacy of lenalidomide maintenance therapy after transplantation. METHODS We randomly assigned 614 patients younger than 65 years of age who had nonprogressive disease after first-line transplantation to maintenance treatment with either lenalidomide (10 mg per day for the first 3 months, increased to 15 mg if tolerated) or placebo until relapse. The primary end point was progression-free survival. RESULTS Lenalidomide maintenance therapy improved median progression-free survival (41 months, vs. 23 months with placebo; hazard ratio, 0.50; P&lt;0.001). This benefit was observed across all patient subgroups, including those based on the β(2)-microglobulin level, cytogenetic profile, and response after transplantation. With a median follow-up period of 45 months, more than 70% of patients in both groups were alive at 4 years. The rates of grade 3 or 4 peripheral neuropathy were similar in the two groups. The incidence of second primary cancers was 3.1 per 100 patient-years in the lenalidomide group versus 1.2 per 100 patient-years in the placebo group (P=0.002). Median event-free survival (with events that included second primary cancers) was significantly improved with lenalidomide (40 months, vs. 23 months with placebo; P&lt;0.001). CONCLUSIONS Lenalidomide maintenance after transplantation significantly prolonged progression-free and event-free survival among patients with multiple myeloma. Four years after randomization, overall survival was similar in the two study groups. (Funded by the Programme Hospitalier de Recherche Clinique and others; ClinicalTrials.gov number, NCT00430365.).","author":[{"dropping-particle":"","family":"Attal","given":"Michel","non-dropping-particle":"","parse-names":false,"suffix":""},{"dropping-particle":"","family":"Lauwers-Cances","given":"Valerie","non-dropping-particle":"","parse-names":false,"suffix":""},{"dropping-particle":"","family":"Marit","given":"Gerald","non-dropping-particle":"","parse-names":false,"suffix":""},{"dropping-particle":"","family":"Caillot","given":"Denis","non-dropping-particle":"","parse-names":false,"suffix":""},{"dropping-particle":"","family":"Moreau","given":"Philippe","non-dropping-particle":"","parse-names":false,"suffix":""},{"dropping-particle":"","family":"Facon","given":"Thierry","non-dropping-particle":"","parse-names":false,"suffix":""},{"dropping-particle":"","family":"Stoppa","given":"Anne Marie","non-dropping-particle":"","parse-names":false,"suffix":""},{"dropping-particle":"","family":"Hulin","given":"Cyrille","non-dropping-particle":"","parse-names":false,"suffix":""},{"dropping-particle":"","family":"Benboubker","given":"Lofti","non-dropping-particle":"","parse-names":false,"suffix":""},{"dropping-particle":"","family":"Garderet","given":"Laurent","non-dropping-particle":"","parse-names":false,"suffix":""},{"dropping-particle":"","family":"Decaux","given":"Olivier","non-dropping-particle":"","parse-names":false,"suffix":""},{"dropping-particle":"","family":"Leyvraz","given":"Serge","non-dropping-particle":"","parse-names":false,"suffix":""},{"dropping-particle":"","family":"Vekemans","given":"Marie-Christiane","non-dropping-particle":"","parse-names":false,"suffix":""},{"dropping-particle":"","family":"Voillat","given":"Laurent","non-dropping-particle":"","parse-names":false,"suffix":""},{"dropping-particle":"","family":"Michallet","given":"Mauricette","non-dropping-particle":"","parse-names":false,"suffix":""},{"dropping-particle":"","family":"Pegourie","given":"Brigitte","non-dropping-particle":"","parse-names":false,"suffix":""},{"dropping-particle":"","family":"Dumontet","given":"Charles","non-dropping-particle":"","parse-names":false,"suffix":""},{"dropping-particle":"","family":"Roussel","given":"Murielle","non-dropping-particle":"","parse-names":false,"suffix":""},{"dropping-particle":"","family":"Leleu","given":"Xavier","non-dropping-particle":"","parse-names":false,"suffix":""},{"dropping-particle":"","family":"Mathiot","given":"Claire","non-dropping-particle":"","parse-names":false,"suffix":""},{"dropping-particle":"","family":"Payen","given":"Catherine","non-dropping-particle":"","parse-names":false,"suffix":""},{"dropping-particle":"","family":"Avet-Loiseau","given":"Hervé","non-dropping-particle":"","parse-names":false,"suffix":""},{"dropping-particle":"","family":"Harousseau","given":"Jean-Luc","non-dropping-particle":"","parse-names":false,"suffix":""},{"dropping-particle":"","family":"IFM Investigators","given":"","non-dropping-particle":"","parse-names":false,"suffix":""}],"container-title":"The New England journal of medicine","id":"ITEM-2","issue":"19","issued":{"date-parts":[["2012","5","10"]]},"page":"1782-91","title":"Lenalidomide maintenance after stem-cell transplantation for multiple myeloma.","type":"article-journal","volume":"366"},"uris":["http://www.mendeley.com/documents/?uuid=6be4d464-cfba-39bf-8c28-bf32bf63774c"]},{"id":"ITEM-3","itemData":{"DOI":"10.1056/NEJMoa1402888","ISSN":"1533-4406","PMID":"25184862","abstract":"BACKGROUND This open-label, randomized, phase 3 study compared melphalan at a dose of 200 mg per square meter of body-surface area plus autologous stem-cell transplantation with melphalan-prednisone-lenalidomide (MPR) and compared lenalidomide maintenance therapy with no maintenance therapy in patients with newly diagnosed multiple myeloma. METHODS We randomly assigned 273 patients 65 years of age or younger to high-dose melphalan plus stem-cell transplantation or MPR consolidation therapy after induction, and 251 patients to lenalidomide maintenance therapy or no maintenance therapy. The primary end point was progression-free survival. RESULTS The median follow-up period was 51.2 months. Both progression-free and overall survival were significantly longer with high-dose melphalan plus stem-cell transplantation than with MPR (median progression-free survival, 43.0 months vs. 22.4 months; hazard ratio for progression or death, 0.44; 95% confidence interval [CI], 0.32 to 0.61; P&lt;0.001; and 4-year overall survival, 81.6% vs. 65.3%; hazard ratio for death, 0.55; 95% CI, 0.32 to 0.93; P=0.02). Median progression-free survival was significantly longer with lenalidomide maintenance than with no maintenance (41.9 months vs. 21.6 months; hazard ratio for progression or death, 0.47; 95% CI, 0.33 to 0.65; P&lt;0.001), but 3-year overall survival was not significantly prolonged (88.0% vs. 79.2%; hazard ratio for death, 0.64; 95% CI, 0.36 to 1.15; P=0.14). Grade 3 or 4 neutropenia was significantly more frequent with high-dose melphalan than with MPR (94.3% vs. 51.5%), as were gastrointestinal adverse events (18.4% vs. 0%) and infections (16.3% vs. 0.8%); neutropenia and dermatologic toxic effects were more frequent with lenalidomide maintenance than with no maintenance (23.3% vs. 0% and 4.3% vs. 0%, respectively). CONCLUSIONS Consolidation therapy with high-dose melphalan plus stem-cell transplantation, as compared with MPR, significantly prolonged progression-free and overall survival among patients with multiple myeloma who were 65 years of age or younger. Lenalidomide maintenance, as compared with no maintenance, significantly prolonged progression-free survival. (Funded by Celgene; ClinicalTrials.gov number, NCT00551928.).","author":[{"dropping-particle":"","family":"Palumbo","given":"Antonio","non-dropping-particle":"","parse-names":false,"suffix":""},{"dropping-particle":"","family":"Cavallo","given":"Federica","non-dropping-particle":"","parse-names":false,"suffix":""},{"dropping-particle":"","family":"Gay","given":"Francesca","non-dropping-particle":"","parse-names":false,"suffix":""},{"dropping-particle":"","family":"Raimondo","given":"Francesco","non-dropping-particle":"Di","parse-names":false,"suffix":""},{"dropping-particle":"","family":"Yehuda","given":"Dina","non-dropping-particle":"Ben","parse-names":false,"suffix":""},{"dropping-particle":"","family":"Petrucci","given":"Maria Teresa","non-dropping-particle":"","parse-names":false,"suffix":""},{"dropping-particle":"","family":"Pezzatti","given":"Sara","non-dropping-particle":"","parse-names":false,"suffix":""},{"dropping-particle":"","family":"Caravita","given":"Tommaso","non-dropping-particle":"","parse-names":false,"suffix":""},{"dropping-particle":"","family":"Cerrato","given":"Chiara","non-dropping-particle":"","parse-names":false,"suffix":""},{"dropping-particle":"","family":"Ribakovsky","given":"Elena","non-dropping-particle":"","parse-names":false,"suffix":""},{"dropping-particle":"","family":"Genuardi","given":"Mariella","non-dropping-particle":"","parse-names":false,"suffix":""},{"dropping-particle":"","family":"Cafro","given":"Anna","non-dropping-particle":"","parse-names":false,"suffix":""},{"dropping-particle":"","family":"Marcatti","given":"Magda","non-dropping-particle":"","parse-names":false,"suffix":""},{"dropping-particle":"","family":"Catalano","given":"Lucio","non-dropping-particle":"","parse-names":false,"suffix":""},{"dropping-particle":"","family":"Offidani","given":"Massimo","non-dropping-particle":"","parse-names":false,"suffix":""},{"dropping-particle":"","family":"Carella","given":"Angelo Michele","non-dropping-particle":"","parse-names":false,"suffix":""},{"dropping-particle":"","family":"Zamagni","given":"Elena","non-dropping-particle":"","parse-names":false,"suffix":""},{"dropping-particle":"","family":"Patriarca","given":"Francesca","non-dropping-particle":"","parse-names":false,"suffix":""},{"dropping-particle":"","family":"Musto","given":"Pellegrino","non-dropping-particle":"","parse-names":false,"suffix":""},{"dropping-particle":"","family":"Evangelista","given":"Andrea","non-dropping-particle":"","parse-names":false,"suffix":""},{"dropping-particle":"","family":"Ciccone","given":"Giovannino","non-dropping-particle":"","parse-names":false,"suffix":""},{"dropping-particle":"","family":"Omedé","given":"Paola","non-dropping-particle":"","parse-names":false,"suffix":""},{"dropping-particle":"","family":"Crippa","given":"Claudia","non-dropping-particle":"","parse-names":false,"suffix":""},{"dropping-particle":"","family":"Corradini","given":"Paolo","non-dropping-particle":"","parse-names":false,"suffix":""},{"dropping-particle":"","family":"Nagler","given":"Arnon","non-dropping-particle":"","parse-names":false,"suffix":""},{"dropping-particle":"","family":"Boccadoro","given":"Mario","non-dropping-particle":"","parse-names":false,"suffix":""},{"dropping-particle":"","family":"Cavo","given":"Michele","non-dropping-particle":"","parse-names":false,"suffix":""}],"container-title":"The New England journal of medicine","id":"ITEM-3","issue":"10","issued":{"date-parts":[["2014","9","4"]]},"page":"895-905","title":"Autologous transplantation and maintenance therapy in multiple myeloma.","type":"article-journal","volume":"371"},"uris":["http://www.mendeley.com/documents/?uuid=e38e0242-874a-3bde-82eb-18ad616fe08e"]}],"mendeley":{"formattedCitation":"[53–55]","plainTextFormattedCitation":"[53–55]","previouslyFormattedCitation":"[53–55]"},"properties":{"noteIndex":0},"schema":"https://github.com/citation-style-language/schema/raw/master/csl-citation.json"}</w:instrText>
      </w:r>
      <w:r w:rsidR="00A96FB6">
        <w:fldChar w:fldCharType="separate"/>
      </w:r>
      <w:r w:rsidR="00705691" w:rsidRPr="00705691">
        <w:rPr>
          <w:noProof/>
        </w:rPr>
        <w:t>[53–55]</w:t>
      </w:r>
      <w:r w:rsidR="00A96FB6">
        <w:fldChar w:fldCharType="end"/>
      </w:r>
      <w:r w:rsidRPr="000C2F12">
        <w:t>.</w:t>
      </w:r>
    </w:p>
    <w:p w:rsidR="008434FF" w:rsidRPr="00BB211A" w:rsidRDefault="008434FF" w:rsidP="00131E36">
      <w:pPr>
        <w:pStyle w:val="a5"/>
        <w:spacing w:before="0" w:after="0"/>
        <w:ind w:left="709"/>
        <w:rPr>
          <w:b/>
        </w:rPr>
      </w:pPr>
      <w:r w:rsidRPr="00BB211A">
        <w:rPr>
          <w:b/>
        </w:rPr>
        <w:t xml:space="preserve">Уровень убедительности рекомендаций </w:t>
      </w:r>
      <w:r w:rsidR="003C3A69">
        <w:rPr>
          <w:b/>
        </w:rPr>
        <w:t xml:space="preserve">− </w:t>
      </w:r>
      <w:r w:rsidR="001A0F52" w:rsidRPr="00BB211A">
        <w:rPr>
          <w:b/>
          <w:lang w:val="en-US"/>
        </w:rPr>
        <w:t>A</w:t>
      </w:r>
      <w:r w:rsidR="00BA44DC">
        <w:rPr>
          <w:b/>
        </w:rPr>
        <w:t xml:space="preserve"> </w:t>
      </w:r>
      <w:r w:rsidRPr="00BB211A">
        <w:rPr>
          <w:b/>
        </w:rPr>
        <w:t>(уровень достоверности доказательств</w:t>
      </w:r>
      <w:r w:rsidR="003F5F1F" w:rsidRPr="003F5F1F">
        <w:rPr>
          <w:b/>
        </w:rPr>
        <w:t xml:space="preserve"> </w:t>
      </w:r>
      <w:r w:rsidR="003C3A69">
        <w:rPr>
          <w:b/>
        </w:rPr>
        <w:t xml:space="preserve">− </w:t>
      </w:r>
      <w:r w:rsidR="006E390F">
        <w:rPr>
          <w:b/>
        </w:rPr>
        <w:t>2</w:t>
      </w:r>
      <w:r w:rsidRPr="00BB211A">
        <w:rPr>
          <w:b/>
        </w:rPr>
        <w:t>)</w:t>
      </w:r>
    </w:p>
    <w:p w:rsidR="008434FF" w:rsidRPr="00AC3713" w:rsidRDefault="008434FF" w:rsidP="00131E36">
      <w:pPr>
        <w:spacing w:before="0" w:after="0"/>
        <w:ind w:left="709"/>
        <w:contextualSpacing/>
        <w:rPr>
          <w:i/>
        </w:rPr>
      </w:pPr>
      <w:r w:rsidRPr="00BB211A">
        <w:rPr>
          <w:b/>
        </w:rPr>
        <w:t>Комментарий:</w:t>
      </w:r>
      <w:r w:rsidR="00BA44DC">
        <w:rPr>
          <w:b/>
        </w:rPr>
        <w:t xml:space="preserve"> </w:t>
      </w:r>
      <w:r w:rsidR="003C3A69">
        <w:rPr>
          <w:i/>
        </w:rPr>
        <w:t>р</w:t>
      </w:r>
      <w:r w:rsidRPr="00AC3713">
        <w:rPr>
          <w:i/>
        </w:rPr>
        <w:t>оль поддерживающей терапии леналидомидом</w:t>
      </w:r>
      <w:r w:rsidR="00141689">
        <w:rPr>
          <w:i/>
        </w:rPr>
        <w:t>**</w:t>
      </w:r>
      <w:r w:rsidRPr="00AC3713">
        <w:rPr>
          <w:i/>
        </w:rPr>
        <w:t xml:space="preserve"> после ауто</w:t>
      </w:r>
      <w:r w:rsidR="00267DE2">
        <w:rPr>
          <w:i/>
        </w:rPr>
        <w:t>-</w:t>
      </w:r>
      <w:r w:rsidRPr="00AC3713">
        <w:rPr>
          <w:i/>
        </w:rPr>
        <w:t>ТГСК оценена в 3 кр</w:t>
      </w:r>
      <w:r w:rsidR="003C3A69">
        <w:rPr>
          <w:i/>
        </w:rPr>
        <w:t>упных рандомизированных плацебо</w:t>
      </w:r>
      <w:r w:rsidRPr="00AC3713">
        <w:rPr>
          <w:i/>
        </w:rPr>
        <w:t>контролируемых исследованиях. Во всех исследованиях медиана длительности поддерживающей терапии леналидомидом</w:t>
      </w:r>
      <w:r w:rsidR="00FF0C02">
        <w:rPr>
          <w:i/>
        </w:rPr>
        <w:t>**</w:t>
      </w:r>
      <w:r w:rsidRPr="00AC3713">
        <w:rPr>
          <w:i/>
        </w:rPr>
        <w:t xml:space="preserve"> составила 1</w:t>
      </w:r>
      <w:r w:rsidR="003C3A69">
        <w:rPr>
          <w:i/>
        </w:rPr>
        <w:t>−</w:t>
      </w:r>
      <w:r w:rsidRPr="00AC3713">
        <w:rPr>
          <w:i/>
        </w:rPr>
        <w:t xml:space="preserve">2 года. </w:t>
      </w:r>
    </w:p>
    <w:p w:rsidR="008434FF" w:rsidRPr="00AC3713" w:rsidRDefault="008434FF" w:rsidP="00131E36">
      <w:pPr>
        <w:spacing w:before="0" w:after="0"/>
        <w:ind w:left="709"/>
        <w:contextualSpacing/>
        <w:rPr>
          <w:i/>
        </w:rPr>
      </w:pPr>
      <w:r w:rsidRPr="00AC3713">
        <w:rPr>
          <w:i/>
        </w:rPr>
        <w:t>При оценке эффективности поддерживающей терапии леналидомидом</w:t>
      </w:r>
      <w:r w:rsidR="001A0F52">
        <w:rPr>
          <w:i/>
        </w:rPr>
        <w:t>**</w:t>
      </w:r>
      <w:r w:rsidRPr="00AC3713">
        <w:rPr>
          <w:i/>
        </w:rPr>
        <w:t xml:space="preserve"> по сравнению с плацебо был</w:t>
      </w:r>
      <w:r w:rsidR="003C3A69">
        <w:rPr>
          <w:i/>
        </w:rPr>
        <w:t>и</w:t>
      </w:r>
      <w:r w:rsidRPr="00AC3713">
        <w:rPr>
          <w:i/>
        </w:rPr>
        <w:t xml:space="preserve"> показан</w:t>
      </w:r>
      <w:r w:rsidR="003C3A69">
        <w:rPr>
          <w:i/>
        </w:rPr>
        <w:t>ы</w:t>
      </w:r>
      <w:r w:rsidRPr="00AC3713">
        <w:rPr>
          <w:i/>
        </w:rPr>
        <w:t xml:space="preserve"> удвоение ВБП, снижение риска прогрессирования заболевания на 50</w:t>
      </w:r>
      <w:r w:rsidR="003C3A69">
        <w:rPr>
          <w:i/>
        </w:rPr>
        <w:t> </w:t>
      </w:r>
      <w:r w:rsidRPr="00AC3713">
        <w:rPr>
          <w:i/>
        </w:rPr>
        <w:t>%, а исследование CALGB 100104 подтвердило улучшение показателей ОВ. Поддерживающая терапия леналидомидом</w:t>
      </w:r>
      <w:r w:rsidR="001A0F52">
        <w:rPr>
          <w:i/>
        </w:rPr>
        <w:t>**</w:t>
      </w:r>
      <w:r w:rsidRPr="00AC3713">
        <w:rPr>
          <w:i/>
        </w:rPr>
        <w:t xml:space="preserve"> сопровождается удовлетворительной переносимостью с умеренной гематологической токсичностью без увеличения случаев нейротоксических, тромботических и инфекционных осложнений. Однако вероятность возникновения вторых опухолей на фоне длительного приема леналидомида</w:t>
      </w:r>
      <w:r w:rsidR="001A0F52">
        <w:rPr>
          <w:i/>
        </w:rPr>
        <w:t>**</w:t>
      </w:r>
      <w:r w:rsidRPr="00AC3713">
        <w:rPr>
          <w:i/>
        </w:rPr>
        <w:t xml:space="preserve"> заставляет врачей и пациентов взвешивать достоинства поддерживающей терапии леналидомидом</w:t>
      </w:r>
      <w:r w:rsidR="001A0F52">
        <w:rPr>
          <w:i/>
        </w:rPr>
        <w:t>**</w:t>
      </w:r>
      <w:r w:rsidRPr="00AC3713">
        <w:rPr>
          <w:i/>
        </w:rPr>
        <w:t xml:space="preserve"> по отношению к низкому, но все же имеющему значени</w:t>
      </w:r>
      <w:r w:rsidR="00455BDD">
        <w:rPr>
          <w:i/>
        </w:rPr>
        <w:t>е риску вторых опухолей. В мета</w:t>
      </w:r>
      <w:r w:rsidRPr="00AC3713">
        <w:rPr>
          <w:i/>
        </w:rPr>
        <w:t>анализе всех рандомизированных исследований, сравнивающих леналидомид</w:t>
      </w:r>
      <w:r w:rsidR="002635F5">
        <w:rPr>
          <w:i/>
        </w:rPr>
        <w:t>**</w:t>
      </w:r>
      <w:r w:rsidRPr="00AC3713">
        <w:rPr>
          <w:i/>
        </w:rPr>
        <w:t xml:space="preserve"> с плацебо, который был представлен на конгрессе ASCO 2016, </w:t>
      </w:r>
      <w:r w:rsidR="00455BDD" w:rsidRPr="00AC3713">
        <w:rPr>
          <w:i/>
        </w:rPr>
        <w:t>M.</w:t>
      </w:r>
      <w:r w:rsidR="00455BDD">
        <w:rPr>
          <w:i/>
        </w:rPr>
        <w:t xml:space="preserve"> </w:t>
      </w:r>
      <w:r w:rsidRPr="00AC3713">
        <w:rPr>
          <w:i/>
        </w:rPr>
        <w:t xml:space="preserve">Attal и </w:t>
      </w:r>
      <w:r w:rsidR="00455BDD">
        <w:rPr>
          <w:i/>
        </w:rPr>
        <w:t>соавт.</w:t>
      </w:r>
      <w:r w:rsidRPr="00AC3713">
        <w:rPr>
          <w:i/>
        </w:rPr>
        <w:t xml:space="preserve"> показали, что использование поддерживающей терапии леналидомидом</w:t>
      </w:r>
      <w:r w:rsidR="001A0F52">
        <w:rPr>
          <w:i/>
        </w:rPr>
        <w:t>**</w:t>
      </w:r>
      <w:r w:rsidRPr="00AC3713">
        <w:rPr>
          <w:i/>
        </w:rPr>
        <w:t xml:space="preserve"> после ауто</w:t>
      </w:r>
      <w:r w:rsidR="00267DE2">
        <w:rPr>
          <w:i/>
        </w:rPr>
        <w:t>-</w:t>
      </w:r>
      <w:r w:rsidRPr="00AC3713">
        <w:rPr>
          <w:i/>
        </w:rPr>
        <w:t xml:space="preserve">ТГСК имело 2,5-летнее </w:t>
      </w:r>
      <w:r w:rsidRPr="00AC3713">
        <w:rPr>
          <w:i/>
        </w:rPr>
        <w:lastRenderedPageBreak/>
        <w:t>преимущество над плацебо, и это преимущество превышало риск развития вторых опухолей.</w:t>
      </w:r>
    </w:p>
    <w:p w:rsidR="008434FF" w:rsidRPr="00AC3713" w:rsidRDefault="008434FF" w:rsidP="00131E36">
      <w:pPr>
        <w:spacing w:before="0" w:after="0"/>
        <w:ind w:left="709"/>
        <w:contextualSpacing/>
        <w:rPr>
          <w:i/>
        </w:rPr>
      </w:pPr>
      <w:r w:rsidRPr="00AC3713">
        <w:rPr>
          <w:i/>
        </w:rPr>
        <w:t>После ауто</w:t>
      </w:r>
      <w:r w:rsidR="00267DE2">
        <w:rPr>
          <w:i/>
        </w:rPr>
        <w:t>-</w:t>
      </w:r>
      <w:r w:rsidRPr="00AC3713">
        <w:rPr>
          <w:i/>
        </w:rPr>
        <w:t>ТГСК поддерживающую терапию рекомендуется назначать через 90</w:t>
      </w:r>
      <w:r w:rsidR="00455BDD">
        <w:rPr>
          <w:i/>
        </w:rPr>
        <w:t>−</w:t>
      </w:r>
      <w:r w:rsidRPr="00AC3713">
        <w:rPr>
          <w:i/>
        </w:rPr>
        <w:t xml:space="preserve">100 дней после переливания стволовых клеток. Предварительно </w:t>
      </w:r>
      <w:r w:rsidR="006E7B15">
        <w:rPr>
          <w:i/>
        </w:rPr>
        <w:t>проводится обследование пациента</w:t>
      </w:r>
      <w:r w:rsidRPr="00AC3713">
        <w:rPr>
          <w:i/>
        </w:rPr>
        <w:t xml:space="preserve"> для подтверждения сохраняющегося противоопухолевого ответа и отсутствия прогрессирования заболевания.</w:t>
      </w:r>
    </w:p>
    <w:p w:rsidR="008434FF" w:rsidRDefault="008434FF" w:rsidP="00131E36">
      <w:pPr>
        <w:spacing w:before="0" w:after="0"/>
        <w:ind w:left="709"/>
        <w:contextualSpacing/>
        <w:rPr>
          <w:i/>
        </w:rPr>
      </w:pPr>
      <w:r w:rsidRPr="00AC3713">
        <w:rPr>
          <w:i/>
        </w:rPr>
        <w:t xml:space="preserve">В центрах, где есть возможность проводить иммунофенотипирование или секвенирование нового поколения клеток костного мозга, целесообразно выполнять мониторинг МОБ у </w:t>
      </w:r>
      <w:r w:rsidR="00FB03BB" w:rsidRPr="00FB03BB">
        <w:rPr>
          <w:i/>
        </w:rPr>
        <w:t>пациентов</w:t>
      </w:r>
      <w:r w:rsidRPr="00AC3713">
        <w:rPr>
          <w:i/>
        </w:rPr>
        <w:t xml:space="preserve">, достигших </w:t>
      </w:r>
      <w:r w:rsidR="00593735">
        <w:rPr>
          <w:i/>
        </w:rPr>
        <w:t>ПР</w:t>
      </w:r>
      <w:r w:rsidRPr="00AC3713">
        <w:rPr>
          <w:i/>
        </w:rPr>
        <w:t>. Возможно, именно результаты МОБ повлияют на тактику посттрансплантационной терапии.</w:t>
      </w:r>
    </w:p>
    <w:p w:rsidR="001E61D5" w:rsidRPr="00971A8A" w:rsidRDefault="001E61D5" w:rsidP="00E36DFA">
      <w:pPr>
        <w:pStyle w:val="2"/>
      </w:pPr>
      <w:bookmarkStart w:id="30" w:name="_Toc24826820"/>
      <w:r w:rsidRPr="00971A8A">
        <w:t>3.4 Лечение рецидивов ММ</w:t>
      </w:r>
      <w:bookmarkEnd w:id="30"/>
    </w:p>
    <w:p w:rsidR="001E61D5" w:rsidRPr="001E61D5" w:rsidRDefault="001E61D5" w:rsidP="00131E36">
      <w:pPr>
        <w:spacing w:before="0" w:after="0"/>
        <w:ind w:left="709"/>
        <w:contextualSpacing/>
      </w:pPr>
      <w:r w:rsidRPr="001E61D5">
        <w:rPr>
          <w:i/>
        </w:rPr>
        <w:t>Ре</w:t>
      </w:r>
      <w:r w:rsidR="00FF0C02">
        <w:rPr>
          <w:i/>
        </w:rPr>
        <w:t>цидивы при ММ</w:t>
      </w:r>
      <w:r w:rsidRPr="001E61D5">
        <w:rPr>
          <w:i/>
        </w:rPr>
        <w:t xml:space="preserve"> неизбежно наступают у большинства </w:t>
      </w:r>
      <w:r w:rsidR="00FB03BB" w:rsidRPr="00FB03BB">
        <w:rPr>
          <w:i/>
        </w:rPr>
        <w:t>пациентов</w:t>
      </w:r>
      <w:r w:rsidRPr="001E61D5">
        <w:rPr>
          <w:i/>
        </w:rPr>
        <w:t xml:space="preserve">. Выбор программы лечения рецидивов зависит от эффективности предшествующей терапии, длительности ремиссии, состояния и возраста пациента, сопутствующей патологии и </w:t>
      </w:r>
      <w:r w:rsidRPr="00BB211A">
        <w:rPr>
          <w:i/>
        </w:rPr>
        <w:t xml:space="preserve">осложнений, сопровождавших первоначальную терапию. </w:t>
      </w:r>
      <w:r w:rsidR="006F2E42" w:rsidRPr="00BB211A">
        <w:rPr>
          <w:i/>
        </w:rPr>
        <w:t xml:space="preserve">При поздних рецидивах (спустя </w:t>
      </w:r>
      <w:r w:rsidRPr="00BB211A">
        <w:rPr>
          <w:i/>
        </w:rPr>
        <w:t>12 мес</w:t>
      </w:r>
      <w:r w:rsidR="00E778E9">
        <w:rPr>
          <w:i/>
        </w:rPr>
        <w:t>.</w:t>
      </w:r>
      <w:r w:rsidRPr="00BB211A">
        <w:rPr>
          <w:i/>
        </w:rPr>
        <w:t xml:space="preserve"> после окончания предшествующего лечения) возможно возобновление первичной терапии. При</w:t>
      </w:r>
      <w:r w:rsidRPr="001E61D5">
        <w:rPr>
          <w:i/>
        </w:rPr>
        <w:t xml:space="preserve"> ранних рецидивах и рефрактерной ММ необходима смена программы лечения с включением препаратов с другим механизмом действия. Повторную ВДХТ с ауто</w:t>
      </w:r>
      <w:r w:rsidR="00267DE2">
        <w:rPr>
          <w:i/>
        </w:rPr>
        <w:t>-</w:t>
      </w:r>
      <w:r w:rsidRPr="001E61D5">
        <w:rPr>
          <w:i/>
        </w:rPr>
        <w:t>ТГСК при рецидиве целесообразно проводить только в тех случаях, когда ремиссия после первой ВДХТ продолжалась 2</w:t>
      </w:r>
      <w:r w:rsidR="000E2F93">
        <w:rPr>
          <w:i/>
        </w:rPr>
        <w:t>−</w:t>
      </w:r>
      <w:r w:rsidRPr="001E61D5">
        <w:rPr>
          <w:i/>
        </w:rPr>
        <w:t>3 года.</w:t>
      </w:r>
    </w:p>
    <w:p w:rsidR="001E61D5" w:rsidRPr="00BB211A" w:rsidRDefault="00A473F6" w:rsidP="002F2D5C">
      <w:pPr>
        <w:pStyle w:val="a5"/>
        <w:numPr>
          <w:ilvl w:val="0"/>
          <w:numId w:val="9"/>
        </w:numPr>
        <w:tabs>
          <w:tab w:val="clear" w:pos="348"/>
          <w:tab w:val="num" w:pos="709"/>
        </w:tabs>
        <w:spacing w:before="0" w:after="0"/>
        <w:ind w:left="709" w:hanging="709"/>
      </w:pPr>
      <w:r>
        <w:t>Для пациентов</w:t>
      </w:r>
      <w:r w:rsidR="001E61D5">
        <w:t xml:space="preserve"> ММ с иммунохимически</w:t>
      </w:r>
      <w:r w:rsidR="00033293">
        <w:t xml:space="preserve">м </w:t>
      </w:r>
      <w:r w:rsidR="00033293" w:rsidRPr="00BB211A">
        <w:t>рецидивом или прогрессией</w:t>
      </w:r>
      <w:r w:rsidR="001E61D5" w:rsidRPr="00BB211A">
        <w:t xml:space="preserve"> ММ, когда отмечается медленное нарастание уровня моноклонального белка при отсутствии клинических симптомов, </w:t>
      </w:r>
      <w:r w:rsidR="00FF0C02">
        <w:rPr>
          <w:b/>
        </w:rPr>
        <w:t>рекомендуется</w:t>
      </w:r>
      <w:r w:rsidR="001E61D5" w:rsidRPr="00BB211A">
        <w:t xml:space="preserve"> выжидательная тактика</w:t>
      </w:r>
      <w:r w:rsidR="00D53F50">
        <w:t xml:space="preserve"> до появления показаний к противорецидивной терапии (появление </w:t>
      </w:r>
      <w:r w:rsidR="00D53F50">
        <w:rPr>
          <w:lang w:val="en-US"/>
        </w:rPr>
        <w:t>CRAB</w:t>
      </w:r>
      <w:r w:rsidR="00D53F50" w:rsidRPr="00D53F50">
        <w:t>-</w:t>
      </w:r>
      <w:r w:rsidR="00D53F50">
        <w:t xml:space="preserve">симптомов, быстрого нарастания М-градиента </w:t>
      </w:r>
      <w:r w:rsidR="000E2F93">
        <w:t>−</w:t>
      </w:r>
      <w:r w:rsidR="00D53F50">
        <w:t xml:space="preserve"> см. следующую рекомендацию)</w:t>
      </w:r>
      <w:r w:rsidR="00A25379" w:rsidRPr="00A25379">
        <w:t xml:space="preserve"> </w:t>
      </w:r>
      <w:r w:rsidR="00A96FB6">
        <w:fldChar w:fldCharType="begin" w:fldLock="1"/>
      </w:r>
      <w:r w:rsidR="00A25379">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A25379" w:rsidRPr="00A25379">
        <w:rPr>
          <w:noProof/>
        </w:rPr>
        <w:t>[1]</w:t>
      </w:r>
      <w:r w:rsidR="00A96FB6">
        <w:fldChar w:fldCharType="end"/>
      </w:r>
      <w:r>
        <w:t>.</w:t>
      </w:r>
    </w:p>
    <w:p w:rsidR="001E61D5" w:rsidRPr="00BB211A" w:rsidRDefault="001E61D5" w:rsidP="00131E36">
      <w:pPr>
        <w:pStyle w:val="a5"/>
        <w:spacing w:before="0" w:after="0"/>
        <w:ind w:left="709"/>
        <w:rPr>
          <w:b/>
        </w:rPr>
      </w:pPr>
      <w:r w:rsidRPr="00BB211A">
        <w:rPr>
          <w:b/>
        </w:rPr>
        <w:t xml:space="preserve">Уровень убедительности рекомендаций </w:t>
      </w:r>
      <w:r w:rsidR="000E2F93">
        <w:rPr>
          <w:b/>
        </w:rPr>
        <w:t xml:space="preserve">− </w:t>
      </w:r>
      <w:r w:rsidR="00A473F6" w:rsidRPr="00BB211A">
        <w:rPr>
          <w:b/>
          <w:lang w:val="en-US"/>
        </w:rPr>
        <w:t>C</w:t>
      </w:r>
      <w:r w:rsidR="00A25379">
        <w:rPr>
          <w:b/>
        </w:rPr>
        <w:t xml:space="preserve"> </w:t>
      </w:r>
      <w:r w:rsidRPr="00BB211A">
        <w:rPr>
          <w:b/>
        </w:rPr>
        <w:t>(уровень достоверности доказательств</w:t>
      </w:r>
      <w:r w:rsidR="00A25379">
        <w:rPr>
          <w:b/>
        </w:rPr>
        <w:t xml:space="preserve"> </w:t>
      </w:r>
      <w:r w:rsidR="000E2F93">
        <w:rPr>
          <w:b/>
        </w:rPr>
        <w:t xml:space="preserve">− </w:t>
      </w:r>
      <w:r w:rsidR="00A473F6" w:rsidRPr="00BB211A">
        <w:rPr>
          <w:b/>
        </w:rPr>
        <w:t>5</w:t>
      </w:r>
      <w:r w:rsidRPr="00BB211A">
        <w:rPr>
          <w:b/>
        </w:rPr>
        <w:t>)</w:t>
      </w:r>
    </w:p>
    <w:p w:rsidR="00DB7A27" w:rsidRPr="00BB211A" w:rsidRDefault="00DB7A27" w:rsidP="002F2D5C">
      <w:pPr>
        <w:pStyle w:val="a5"/>
        <w:numPr>
          <w:ilvl w:val="0"/>
          <w:numId w:val="9"/>
        </w:numPr>
        <w:tabs>
          <w:tab w:val="clear" w:pos="348"/>
          <w:tab w:val="num" w:pos="709"/>
        </w:tabs>
        <w:spacing w:before="0" w:after="0"/>
        <w:ind w:left="709" w:hanging="709"/>
      </w:pPr>
      <w:r w:rsidRPr="00BB211A">
        <w:t>Пациентам с признаками клинического рецидива, а также при быстром нарастании парапротеина (удвоение содержания М-градиента в течение 2 мес</w:t>
      </w:r>
      <w:r w:rsidR="00E778E9">
        <w:t>.</w:t>
      </w:r>
      <w:r w:rsidR="00033293" w:rsidRPr="00BB211A">
        <w:t>)</w:t>
      </w:r>
      <w:r w:rsidR="00A25379">
        <w:t xml:space="preserve"> </w:t>
      </w:r>
      <w:r w:rsidR="00FF0C02">
        <w:rPr>
          <w:b/>
        </w:rPr>
        <w:t>рекомендуется</w:t>
      </w:r>
      <w:r w:rsidR="00A25379">
        <w:rPr>
          <w:b/>
        </w:rPr>
        <w:t xml:space="preserve"> </w:t>
      </w:r>
      <w:r w:rsidRPr="00BB211A">
        <w:t>противорецидивная терапия</w:t>
      </w:r>
      <w:r w:rsidR="00A25379">
        <w:t xml:space="preserve"> </w:t>
      </w:r>
      <w:r w:rsidR="00A96FB6">
        <w:fldChar w:fldCharType="begin" w:fldLock="1"/>
      </w:r>
      <w:r w:rsidR="00A25379">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A25379" w:rsidRPr="00A25379">
        <w:rPr>
          <w:noProof/>
        </w:rPr>
        <w:t>[1]</w:t>
      </w:r>
      <w:r w:rsidR="00A96FB6">
        <w:fldChar w:fldCharType="end"/>
      </w:r>
      <w:r w:rsidR="00141689">
        <w:t>.</w:t>
      </w:r>
    </w:p>
    <w:p w:rsidR="00DB7A27" w:rsidRPr="00141689" w:rsidRDefault="00DB7A27" w:rsidP="00131E36">
      <w:pPr>
        <w:spacing w:before="0" w:after="0"/>
        <w:ind w:left="709"/>
        <w:contextualSpacing/>
        <w:rPr>
          <w:b/>
        </w:rPr>
      </w:pPr>
      <w:r w:rsidRPr="00141689">
        <w:rPr>
          <w:b/>
        </w:rPr>
        <w:t xml:space="preserve">Уровень убедительности рекомендаций </w:t>
      </w:r>
      <w:r w:rsidR="000E2F93">
        <w:rPr>
          <w:b/>
        </w:rPr>
        <w:t xml:space="preserve">− </w:t>
      </w:r>
      <w:r w:rsidR="00A473F6" w:rsidRPr="00141689">
        <w:rPr>
          <w:b/>
          <w:lang w:val="en-US"/>
        </w:rPr>
        <w:t>C</w:t>
      </w:r>
      <w:r w:rsidR="00A25379">
        <w:rPr>
          <w:b/>
        </w:rPr>
        <w:t xml:space="preserve"> </w:t>
      </w:r>
      <w:r w:rsidRPr="00141689">
        <w:rPr>
          <w:b/>
        </w:rPr>
        <w:t>(уровень достоверности доказательств</w:t>
      </w:r>
      <w:r w:rsidR="00A473F6" w:rsidRPr="00141689">
        <w:rPr>
          <w:b/>
        </w:rPr>
        <w:t xml:space="preserve"> </w:t>
      </w:r>
      <w:r w:rsidR="000E2F93">
        <w:rPr>
          <w:b/>
        </w:rPr>
        <w:t xml:space="preserve">− </w:t>
      </w:r>
      <w:r w:rsidR="00A473F6" w:rsidRPr="00141689">
        <w:rPr>
          <w:b/>
        </w:rPr>
        <w:t>5</w:t>
      </w:r>
      <w:r w:rsidRPr="00141689">
        <w:rPr>
          <w:b/>
        </w:rPr>
        <w:t>)</w:t>
      </w:r>
    </w:p>
    <w:p w:rsidR="00DB7A27" w:rsidRDefault="00DB7A27" w:rsidP="00131E36">
      <w:pPr>
        <w:spacing w:before="0" w:after="0"/>
        <w:ind w:left="709"/>
        <w:contextualSpacing/>
        <w:rPr>
          <w:i/>
        </w:rPr>
      </w:pPr>
      <w:r w:rsidRPr="00912FAC">
        <w:rPr>
          <w:b/>
        </w:rPr>
        <w:lastRenderedPageBreak/>
        <w:t xml:space="preserve">Комментарий: </w:t>
      </w:r>
      <w:r w:rsidR="000E2F93">
        <w:rPr>
          <w:i/>
        </w:rPr>
        <w:t>п</w:t>
      </w:r>
      <w:r>
        <w:rPr>
          <w:i/>
        </w:rPr>
        <w:t xml:space="preserve">ризнаками клинического рецидива являются </w:t>
      </w:r>
      <w:r>
        <w:rPr>
          <w:i/>
          <w:lang w:val="en-US"/>
        </w:rPr>
        <w:t>CRAB</w:t>
      </w:r>
      <w:r>
        <w:rPr>
          <w:i/>
        </w:rPr>
        <w:t>-симптомы:</w:t>
      </w:r>
    </w:p>
    <w:p w:rsidR="00DB7A27" w:rsidRPr="00DB7A27" w:rsidRDefault="00DB7A27" w:rsidP="00131E36">
      <w:pPr>
        <w:pStyle w:val="a5"/>
        <w:numPr>
          <w:ilvl w:val="0"/>
          <w:numId w:val="5"/>
        </w:numPr>
        <w:spacing w:before="0" w:after="0"/>
        <w:ind w:firstLine="709"/>
        <w:rPr>
          <w:i/>
        </w:rPr>
      </w:pPr>
      <w:r w:rsidRPr="00DB7A27">
        <w:rPr>
          <w:i/>
        </w:rPr>
        <w:t>Гиперкальциемия (содержание кальция крови &gt;2,75 ммоль/л)</w:t>
      </w:r>
    </w:p>
    <w:p w:rsidR="00DB7A27" w:rsidRPr="00DB7A27" w:rsidRDefault="00DB7A27" w:rsidP="00131E36">
      <w:pPr>
        <w:pStyle w:val="a5"/>
        <w:numPr>
          <w:ilvl w:val="0"/>
          <w:numId w:val="5"/>
        </w:numPr>
        <w:spacing w:before="0" w:after="0"/>
        <w:ind w:firstLine="709"/>
        <w:rPr>
          <w:i/>
        </w:rPr>
      </w:pPr>
      <w:r w:rsidRPr="00DB7A27">
        <w:rPr>
          <w:i/>
        </w:rPr>
        <w:t>Почечная недостаточность, объясняемая миеломой</w:t>
      </w:r>
    </w:p>
    <w:p w:rsidR="00DB7A27" w:rsidRPr="00DB7A27" w:rsidRDefault="00DB7A27" w:rsidP="00131E36">
      <w:pPr>
        <w:pStyle w:val="a5"/>
        <w:numPr>
          <w:ilvl w:val="0"/>
          <w:numId w:val="5"/>
        </w:numPr>
        <w:spacing w:before="0" w:after="0"/>
        <w:ind w:firstLine="709"/>
        <w:rPr>
          <w:i/>
        </w:rPr>
      </w:pPr>
      <w:r w:rsidRPr="00DB7A27">
        <w:rPr>
          <w:i/>
        </w:rPr>
        <w:t>Анемия (гемоглобин &lt;100 г/л)</w:t>
      </w:r>
    </w:p>
    <w:p w:rsidR="00DB7A27" w:rsidRDefault="00DB7A27" w:rsidP="00131E36">
      <w:pPr>
        <w:pStyle w:val="a5"/>
        <w:numPr>
          <w:ilvl w:val="0"/>
          <w:numId w:val="5"/>
        </w:numPr>
        <w:spacing w:before="0" w:after="0"/>
        <w:ind w:firstLine="709"/>
        <w:rPr>
          <w:i/>
        </w:rPr>
      </w:pPr>
      <w:r w:rsidRPr="00DB7A27">
        <w:rPr>
          <w:i/>
        </w:rPr>
        <w:t>Костные поражения (литические повреждения или остеопороз с компрессионными переломами)</w:t>
      </w:r>
    </w:p>
    <w:p w:rsidR="00253CC2" w:rsidRPr="00DB7A27" w:rsidRDefault="00253CC2" w:rsidP="00D62DF3">
      <w:pPr>
        <w:pStyle w:val="a5"/>
        <w:spacing w:before="0" w:after="0"/>
        <w:ind w:left="2123"/>
        <w:rPr>
          <w:i/>
        </w:rPr>
      </w:pPr>
    </w:p>
    <w:p w:rsidR="00B228C7" w:rsidRDefault="00B228C7" w:rsidP="00E36DFA">
      <w:pPr>
        <w:pStyle w:val="a3"/>
        <w:spacing w:before="0" w:beforeAutospacing="0" w:after="0" w:afterAutospacing="0" w:line="360" w:lineRule="auto"/>
        <w:ind w:firstLine="709"/>
        <w:outlineLvl w:val="1"/>
        <w:rPr>
          <w:rStyle w:val="ab"/>
          <w:rFonts w:eastAsia="Calibri"/>
          <w:szCs w:val="22"/>
          <w:u w:val="single"/>
          <w:lang w:eastAsia="en-US"/>
        </w:rPr>
      </w:pPr>
      <w:bookmarkStart w:id="31" w:name="_Toc24826821"/>
      <w:r>
        <w:rPr>
          <w:rStyle w:val="ab"/>
          <w:u w:val="single"/>
        </w:rPr>
        <w:t>3.4.</w:t>
      </w:r>
      <w:r w:rsidR="00077BDE">
        <w:rPr>
          <w:rStyle w:val="ab"/>
          <w:u w:val="single"/>
        </w:rPr>
        <w:t>1</w:t>
      </w:r>
      <w:r w:rsidR="00A25379">
        <w:rPr>
          <w:rStyle w:val="ab"/>
          <w:u w:val="single"/>
        </w:rPr>
        <w:t xml:space="preserve"> </w:t>
      </w:r>
      <w:r>
        <w:rPr>
          <w:rStyle w:val="ab"/>
          <w:u w:val="single"/>
        </w:rPr>
        <w:t>Лечение рецидива ММ, не отягощенного двойной рефрактерностью</w:t>
      </w:r>
      <w:bookmarkEnd w:id="31"/>
    </w:p>
    <w:p w:rsidR="00B241C1" w:rsidRDefault="00B241C1" w:rsidP="00131E36">
      <w:pPr>
        <w:spacing w:before="0" w:after="0"/>
        <w:ind w:firstLine="709"/>
        <w:contextualSpacing/>
        <w:rPr>
          <w:i/>
        </w:rPr>
      </w:pPr>
      <w:r>
        <w:rPr>
          <w:i/>
        </w:rPr>
        <w:t>Выбор терапии рецидива</w:t>
      </w:r>
      <w:r w:rsidR="00253CC2">
        <w:rPr>
          <w:i/>
        </w:rPr>
        <w:t xml:space="preserve"> </w:t>
      </w:r>
      <w:r w:rsidR="00B657E4">
        <w:rPr>
          <w:i/>
        </w:rPr>
        <w:t xml:space="preserve">зависит от </w:t>
      </w:r>
      <w:r w:rsidR="0077566B" w:rsidRPr="00BB211A">
        <w:rPr>
          <w:i/>
        </w:rPr>
        <w:t>эффективности</w:t>
      </w:r>
      <w:r w:rsidR="00253CC2">
        <w:rPr>
          <w:i/>
        </w:rPr>
        <w:t xml:space="preserve"> </w:t>
      </w:r>
      <w:r w:rsidR="00033293" w:rsidRPr="00BB211A">
        <w:rPr>
          <w:i/>
        </w:rPr>
        <w:t>предшествующе</w:t>
      </w:r>
      <w:r w:rsidR="00BE2B1A" w:rsidRPr="00BB211A">
        <w:rPr>
          <w:i/>
        </w:rPr>
        <w:t>й</w:t>
      </w:r>
      <w:r w:rsidR="007B3991" w:rsidRPr="00BB211A">
        <w:rPr>
          <w:i/>
        </w:rPr>
        <w:t xml:space="preserve"> лини</w:t>
      </w:r>
      <w:r w:rsidR="00253CC2">
        <w:rPr>
          <w:i/>
        </w:rPr>
        <w:t>и</w:t>
      </w:r>
      <w:r w:rsidR="007B3991" w:rsidRPr="00BB211A">
        <w:rPr>
          <w:i/>
        </w:rPr>
        <w:t xml:space="preserve"> терапии, клинических особенностей пациента (наличие полинейропатии</w:t>
      </w:r>
      <w:r w:rsidR="007B3991">
        <w:rPr>
          <w:i/>
        </w:rPr>
        <w:t xml:space="preserve"> или почечной недостаточности, тромбозы в анамнезе и др.), а также </w:t>
      </w:r>
      <w:r w:rsidR="007B3991" w:rsidRPr="007B3991">
        <w:rPr>
          <w:i/>
        </w:rPr>
        <w:t>от предпочтений и опыта центра и лечащего врача</w:t>
      </w:r>
      <w:r w:rsidR="007B3991">
        <w:rPr>
          <w:i/>
        </w:rPr>
        <w:t xml:space="preserve">. </w:t>
      </w:r>
      <w:r w:rsidR="00BE2B1A">
        <w:rPr>
          <w:i/>
        </w:rPr>
        <w:t>У пациентов, у которых не развилась рефрактерность к бортезомибу</w:t>
      </w:r>
      <w:r w:rsidR="0056051E">
        <w:rPr>
          <w:i/>
        </w:rPr>
        <w:t>**</w:t>
      </w:r>
      <w:r w:rsidR="00BE2B1A">
        <w:rPr>
          <w:i/>
        </w:rPr>
        <w:t xml:space="preserve"> и леналидомиду</w:t>
      </w:r>
      <w:r w:rsidR="0056051E">
        <w:rPr>
          <w:i/>
        </w:rPr>
        <w:t>**</w:t>
      </w:r>
      <w:r w:rsidR="00BE2B1A">
        <w:rPr>
          <w:i/>
        </w:rPr>
        <w:t xml:space="preserve">, </w:t>
      </w:r>
      <w:r w:rsidR="007B3991">
        <w:rPr>
          <w:i/>
        </w:rPr>
        <w:t>могут применяться следующие варианты лечения</w:t>
      </w:r>
      <w:r w:rsidR="00A25379" w:rsidRPr="00A25379">
        <w:rPr>
          <w:i/>
        </w:rPr>
        <w:t xml:space="preserve"> </w:t>
      </w:r>
      <w:r w:rsidR="00032CFB" w:rsidRPr="00032CFB">
        <w:rPr>
          <w:i/>
        </w:rPr>
        <w:t xml:space="preserve">(описание режимов – см. приложение </w:t>
      </w:r>
      <w:r w:rsidR="00C812D6">
        <w:rPr>
          <w:i/>
        </w:rPr>
        <w:t>А3.1</w:t>
      </w:r>
      <w:r w:rsidR="00253CC2">
        <w:rPr>
          <w:i/>
        </w:rPr>
        <w:t>.</w:t>
      </w:r>
      <w:r w:rsidR="00032CFB" w:rsidRPr="00032CFB">
        <w:rPr>
          <w:i/>
        </w:rPr>
        <w:t>)</w:t>
      </w:r>
      <w:r w:rsidR="00A25379">
        <w:rPr>
          <w:i/>
        </w:rPr>
        <w:t xml:space="preserve"> </w:t>
      </w:r>
      <w:r w:rsidR="00A96FB6">
        <w:rPr>
          <w:i/>
        </w:rPr>
        <w:fldChar w:fldCharType="begin" w:fldLock="1"/>
      </w:r>
      <w:r w:rsidR="00F74B6B">
        <w:rPr>
          <w:i/>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myeloma","type":"article","volume":"35"},"uris":["http://www.mendeley.com/documents/?uuid=4b51abe8-b4d6-30ad-bad9-00468e013c00"]},{"id":"ITEM-2","itemData":{"DOI":"10.1016/j.clml.2014.03.005","ISSN":"2152-2669","PMID":"25023616","abstract":"INTRODUCTION Bortezomib is administered for a finite course; thus, patients might remain sensitive to bortezomib-based therapy at relapse. We report a meta-analysis of bortezomib-based retreatment in relapsed/refractory myeloma. PATIENTS AND METHODS A systematic literature review identified studies of bortezomib-based retreatment in relapsed/refractory myeloma. Proportions of bortezomib-refractory patients and additional prognostic factors were extracted and used in weighted stratified analyses of TTP and OS. Random-effect pooled estimates were calculated for overall response rate (ORR) and rates of common AEs. RESULTS Twenty-three studies (n = 1051 patients) were identified. Bortezomib was administered intravenously in all studies. Across studies in which data were available, pooled, weighted average ORR was 39.1% (95% confidence interval, 30.8%-47.4%), and pooled, weighted average median TTP and OS were 7.5 and 16.6 months, respectively. Patients with fewer previous therapies (≤ 4) and relapsed (not refractory) patients achieved higher ORRs, of 43.4% and 57.2%, respectively. Random-effects meta-regression analysis confirmed that relapsed patients were associated with a higher ORR by 28 to 41 percentage points versus refractory patients. In relapsed patients, median TTP and OS were 8.5 and 19.7 months, respectively. Common Grade 3/4 AEs included thrombocytopenia (35%), neutropenia (15%), anemia (14%), pneumonia (10%), and peripheral neuropathy (3%). CONCLUSION Based on these findings, bortezomib retreatment is well tolerated and appears efficacious in relapsed patients. In an era of new and emerging treatment options for relapsed and/or refractory myeloma, these data indicate that bortezomib retreatment might be a highly effective option in previously treated patients.","author":[{"dropping-particle":"","family":"Knopf","given":"Kevin B","non-dropping-particle":"","parse-names":false,"suffix":""},{"dropping-particle":"","family":"Duh","given":"Mei Sheng","non-dropping-particle":"","parse-names":false,"suffix":""},{"dropping-particle":"","family":"Lafeuille","given":"Marie-Hélène","non-dropping-particle":"","parse-names":false,"suffix":""},{"dropping-particle":"","family":"Gravel","given":"Jonathan","non-dropping-particle":"","parse-names":false,"suffix":""},{"dropping-particle":"","family":"Lefebvre","given":"Patrick","non-dropping-particle":"","parse-names":false,"suffix":""},{"dropping-particle":"","family":"Niculescu","given":"Liviu","non-dropping-particle":"","parse-names":false,"suffix":""},{"dropping-particle":"","family":"Ba-Mancini","given":"Abbie","non-dropping-particle":"","parse-names":false,"suffix":""},{"dropping-particle":"","family":"Ma","given":"Esprit","non-dropping-particle":"","parse-names":false,"suffix":""},{"dropping-particle":"","family":"Shi","given":"Hongliang","non-dropping-particle":"","parse-names":false,"suffix":""},{"dropping-particle":"","family":"Comenzo","given":"Raymond L","non-dropping-particle":"","parse-names":false,"suffix":""}],"container-title":"Clinical lymphoma, myeloma &amp; leukemia","id":"ITEM-2","issue":"5","issued":{"date-parts":[["2014","10"]]},"page":"380-8","title":"Meta-analysis of the efficacy and safety of bortezomib re-treatment in patients with multiple myeloma.","type":"article-journal","volume":"14"},"uris":["http://www.mendeley.com/documents/?uuid=b3846e4f-86a4-3632-887c-068c5784518c"]},{"id":"ITEM-3","itemData":{"DOI":"10.1002/14651858.CD010816.pub2","ISSN":"1469-493X","PMID":"27096326","abstract":"BACKGROUND Multiple myeloma is a malignancy of plasma cells accounting for approximately 1% of cancers and 12% of haematological malignancies. The first-in-class proteasome inhibitor, bortezomib, is commonly used to treat newly diagnosed as well as relapsed/refractory myeloma, either as single agent or combined with other therapies. OBJECTIVES We conducted a systematic review and meta-analysis to assess the effects of bortezomib on overall survival (OS), progression-free survival (PFS), response rate (RR), health-related quality of life (HRQoL), adverse events (AEs) and treatment-related death (TRD). SEARCH METHODS We searched MEDLINE, the Cochrane Central Register of Controlled Trials and EMBASE (till 27 January 2016) as well as conference proceedings and clinical trial registries for randomised controlled trials (RCTs). SELECTION CRITERIA We included randomised controlled trials (RCTs) that compared i) bortezomib versus no bortezomib with the same background therapy in each arm; ii) bortezomib versus no bortezomib with different background therapy in each arm or compared to other agent(s) and iii) bortezomib dose comparisons and comparisons of different treatment administrations and schedules. DATA COLLECTION AND ANALYSIS Two review authors independently extracted outcomes data and assessed risk of bias. We extracted hazard ratios (HR) and their confidence intervals for OS and PFS and odds ratios (OR) for response rates, AEs and TRD. We contacted trial authors to provide summary statistics if missing. We estimated Logrank statistics which were not available. We extracted HRQoL data, where available. MAIN RESULTS We screened a total of 3667 records, identifying 16 relevant RCTs involving 5626 patients and included 12 trials in the meta-analyses. All trials were randomised and open-label studies. Two trials were published in abstract form and therefore we were unable to assess potential risk of bias in full.There is moderate-quality evidence that bortezomib prolongs OS (four studies, 1586 patients; Peto OR 0.77, 95% CI 0.65 to 0.92) and PFS (five studies, 1855 patients; Peto OR 0.65, 95% CI 0.57 to 0.74) from analysing trials of bortezomib versus no bortezomib with the same background therapy in each arm.There is high-quality evidence that bortezomib prolongs OS (five studies, 2532 patients; Peto OR 0.76, 95% CI 0.67 to 0.88) but low-quality evidence for PFS (four studies, 2489 patients; Peto OR 0.67, 95% CI 0.61 to 0.75) from analysing trials of bortez…","author":[{"dropping-particle":"","family":"Scott","given":"Kathleen","non-dropping-particle":"","parse-names":false,"suffix":""},{"dropping-particle":"","family":"Hayden","given":"Patrick J","non-dropping-particle":"","parse-names":false,"suffix":""},{"dropping-particle":"","family":"Will","given":"Andrea","non-dropping-particle":"","parse-names":false,"suffix":""},{"dropping-particle":"","family":"Wheatley","given":"Keith","non-dropping-particle":"","parse-names":false,"suffix":""},{"dropping-particle":"","family":"Coyne","given":"Imelda","non-dropping-particle":"","parse-names":false,"suffix":""}],"container-title":"The Cochrane database of systematic reviews","id":"ITEM-3","issued":{"date-parts":[["2016","4","20"]]},"page":"CD010816","title":"Bortezomib for the treatment of multiple myeloma.","type":"article-journal","volume":"4"},"uris":["http://www.mendeley.com/documents/?uuid=9ecdc7e8-5097-32cf-a812-bfc887947c9a"]},{"id":"ITEM-4","itemData":{"DOI":"10.1016/j.clml.2017.12.011","ISSN":"21522669","abstract":"A systematic review and network meta-analysis were conducted to compare the clinical efficacy of immunomodulatory drug-containing regimens in patients with relapsed or refractory multiple myeloma. Daratumumab plus lenalidomide and dexamethasone had a significant advantage in improving progression-free survival of patients compared with other immunomodulatory drug-containing regimens. Background: Previous network meta-analyses combined studies of immunomodulatory drug (IMiD)–containing and IMiD-free regimens, despite a lack of head-to-head randomized controlled trials to robustly link them. However, patients with relapsed or refractory multiple myeloma (RRMM) treated with IMiD-containing regimens differ from those treated with IMiD-free regimens, especially relating to treatment history, which is an important treatment-effect modifier requiring clinical consideration when evaluating the most appropriate subsequent treatment options. A need exists to separately assess the efficacy of treatment regimens for patients who are suitable candidates for IMiD-containing and IMiD-free regimens. The presented analyses will enable clinicians to assess the best regimens to use in patients suitable for IMiD-containing regimens. Materials and Methods: We used a Bayesian network meta-analysis to compare IMiD-containing regimens in patients with RRMM. Additionally, subgroup analyses were conducted stratified by previous therapy line, previous bortezomib therapy, and previous lenalidomide therapy. Results: The results indicated that triplet combinations are more effective than doublet combinations. Of the triplet combinations, daratumumab, lenalidomide, dexamethasone (DRd) was significantly better in improving progression-free survival in patients with RRMM than were other IMiD-containing regimens (lenalidomide, dexamethasone [Rd]: hazard ratio [HR], 0.37; carfilzomib, Rd: HR, 0.54; elotuzumab, Rd: HR, 0.54; ixazomib, Rd: HR, 0.50). Similar trends were observed for overall survival and overall response. DRd showed the greatest probability of being the best treatment for all clinical efficacy outcomes. The subgroup analyses results were consistent with the base-case results. Conclusion: In patients with RRMM who are suitable for an IMiD-containing regimen, DRd showed clear advantages in survival and response outcomes compared with other IMiD-containing regimens.","author":[{"dropping-particle":"","family":"Dimopoulos","given":"Meletios Athanasios","non-dropping-particle":"","parse-names":false,"suffix":""},{"dropping-particle":"","family":"Kaufman","given":"Jonathan L.","non-dropping-particle":"","parse-names":false,"suffix":""},{"dropping-particle":"","family":"White","given":"Darrell","non-dropping-particle":"","parse-names":false,"suffix":""},{"dropping-particle":"","family":"Cook","given":"Gordon","non-dropping-particle":"","parse-names":false,"suffix":""},{"dropping-particle":"","family":"Rizzo","given":"Maria","non-dropping-particle":"","parse-names":false,"suffix":""},{"dropping-particle":"","family":"Xu","given":"Yingxin","non-dropping-particle":"","parse-names":false,"suffix":""},{"dropping-particle":"","family":"Fahrbach","given":"Kyle","non-dropping-particle":"","parse-names":false,"suffix":""},{"dropping-particle":"","family":"Gaudig","given":"Maren","non-dropping-particle":"","parse-names":false,"suffix":""},{"dropping-particle":"","family":"Slavcev","given":"Mary","non-dropping-particle":"","parse-names":false,"suffix":""},{"dropping-particle":"","family":"Dearden","given":"Lindsay","non-dropping-particle":"","parse-names":false,"suffix":""},{"dropping-particle":"","family":"Lam","given":"Annette","non-dropping-particle":"","parse-names":false,"suffix":""}],"container-title":"Clinical Lymphoma, Myeloma and Leukemia","id":"ITEM-4","issue":"3","issued":{"date-parts":[["2018","3","1"]]},"page":"163-173.e6","publisher":"Elsevier Inc.","title":"A Comparison of the Efficacy of Immunomodulatory-containing Regimens in Relapsed/Refractory Multiple Myeloma: A Network Meta-analysis","type":"article-journal","volume":"18"},"uris":["http://www.mendeley.com/documents/?uuid=4543af21-4b82-3645-8d1e-52cee5a8b951"]},{"id":"ITEM-5","itemData":{"DOI":"10.1200/jco.2009.27.15_suppl.8536","author":[{"dropping-particle":"","family":"Anderson","given":"K.C.","non-dropping-particle":"","parse-names":false,"suffix":""},{"dropping-particle":"","family":"Jagannath","given":"S.","non-dropping-particle":"","parse-names":false,"suffix":""},{"dropping-particle":"","family":"Jakubowiak","given":"A.","non-dropping-particle":"","parse-names":false,"suffix":""},{"dropping-particle":"","family":"Lonial","given":"S.","non-dropping-particle":"","parse-names":false,"suffix":""},{"dropping-particle":"","family":"Raje","given":"N.","non-dropping-particle":"","parse-names":false,"suffix":""},{"dropping-particle":"","family":"Alsina","given":"M.","non-dropping-particle":"","parse-names":false,"suffix":""},{"dropping-particle":"","family":"Ghobrial","given":"I.","non-dropping-particle":"","parse-names":false,"suffix":""},{"dropping-particle":"","family":"Knight","given":"R.","non-dropping-particle":"","parse-names":false,"suffix":""},{"dropping-particle":"","family":"Esseltine","given":"D.","non-dropping-particle":"","parse-names":false,"suffix":""},{"dropping-particle":"","family":"Richardson","given":"P.","non-dropping-particle":"","parse-names":false,"suffix":""}],"container-title":"Journal of Clinical Oncology","id":"ITEM-5","issue":"15 (Suppl.)","issued":{"date-parts":[["2009"]]},"page":"Abstract 8536","title":"Lenalidomide, bortezomib, and dexamethasone in relapsed/refractory multiple myeloma (MM): Encouraging outcomes and tolerability in a phase II study","type":"article-journal","volume":"27"},"uris":["http://www.mendeley.com/documents/?uuid=e626abc9-b1fb-4470-be82-facc41059486"]}],"mendeley":{"formattedCitation":"[56–60]","plainTextFormattedCitation":"[56–60]","previouslyFormattedCitation":"[56–60]"},"properties":{"noteIndex":0},"schema":"https://github.com/citation-style-language/schema/raw/master/csl-citation.json"}</w:instrText>
      </w:r>
      <w:r w:rsidR="00A96FB6">
        <w:rPr>
          <w:i/>
        </w:rPr>
        <w:fldChar w:fldCharType="separate"/>
      </w:r>
      <w:r w:rsidR="00705691" w:rsidRPr="00705691">
        <w:rPr>
          <w:noProof/>
        </w:rPr>
        <w:t>[56–60]</w:t>
      </w:r>
      <w:r w:rsidR="00A96FB6">
        <w:rPr>
          <w:i/>
        </w:rPr>
        <w:fldChar w:fldCharType="end"/>
      </w:r>
      <w:r w:rsidR="007B3991">
        <w:rPr>
          <w:i/>
        </w:rPr>
        <w:t>:</w:t>
      </w:r>
    </w:p>
    <w:p w:rsidR="007B3991" w:rsidRDefault="007B3991" w:rsidP="002F2D5C">
      <w:pPr>
        <w:pStyle w:val="a5"/>
        <w:numPr>
          <w:ilvl w:val="0"/>
          <w:numId w:val="10"/>
        </w:numPr>
        <w:spacing w:before="0" w:after="0"/>
        <w:ind w:firstLine="709"/>
        <w:rPr>
          <w:i/>
        </w:rPr>
      </w:pPr>
      <w:r>
        <w:rPr>
          <w:i/>
        </w:rPr>
        <w:t>Бортезомибсодержащие</w:t>
      </w:r>
      <w:r w:rsidR="00253CC2">
        <w:rPr>
          <w:i/>
        </w:rPr>
        <w:t>**</w:t>
      </w:r>
      <w:r>
        <w:rPr>
          <w:i/>
        </w:rPr>
        <w:t xml:space="preserve"> режимы</w:t>
      </w:r>
    </w:p>
    <w:p w:rsidR="007B3991" w:rsidRPr="002D7F46" w:rsidRDefault="007B3991" w:rsidP="002F2D5C">
      <w:pPr>
        <w:pStyle w:val="a5"/>
        <w:numPr>
          <w:ilvl w:val="0"/>
          <w:numId w:val="10"/>
        </w:numPr>
        <w:spacing w:before="0" w:after="0"/>
        <w:ind w:firstLine="709"/>
        <w:rPr>
          <w:i/>
        </w:rPr>
      </w:pPr>
      <w:r>
        <w:rPr>
          <w:i/>
        </w:rPr>
        <w:t>Леналидомидсодержащие</w:t>
      </w:r>
      <w:r w:rsidR="00253CC2">
        <w:rPr>
          <w:i/>
        </w:rPr>
        <w:t>**</w:t>
      </w:r>
      <w:r w:rsidR="00E768D1">
        <w:rPr>
          <w:i/>
        </w:rPr>
        <w:t xml:space="preserve"> </w:t>
      </w:r>
      <w:r>
        <w:rPr>
          <w:i/>
        </w:rPr>
        <w:t>режимы</w:t>
      </w:r>
    </w:p>
    <w:p w:rsidR="002D7F46" w:rsidRDefault="008D36F2" w:rsidP="002F2D5C">
      <w:pPr>
        <w:pStyle w:val="a5"/>
        <w:numPr>
          <w:ilvl w:val="0"/>
          <w:numId w:val="10"/>
        </w:numPr>
        <w:spacing w:before="0" w:after="0"/>
        <w:ind w:firstLine="709"/>
        <w:rPr>
          <w:i/>
        </w:rPr>
      </w:pPr>
      <w:r>
        <w:rPr>
          <w:i/>
        </w:rPr>
        <w:t>Комбинация бортезомиба**, леналидомида** и дексаметазона**</w:t>
      </w:r>
    </w:p>
    <w:p w:rsidR="008D36F2" w:rsidRDefault="008D36F2" w:rsidP="002F2D5C">
      <w:pPr>
        <w:pStyle w:val="a5"/>
        <w:numPr>
          <w:ilvl w:val="0"/>
          <w:numId w:val="10"/>
        </w:numPr>
        <w:spacing w:before="0" w:after="0"/>
        <w:ind w:firstLine="709"/>
        <w:rPr>
          <w:i/>
        </w:rPr>
      </w:pPr>
      <w:r>
        <w:rPr>
          <w:i/>
        </w:rPr>
        <w:t>Комбинация карфилзомиба**, леналидомида** и дексаметазона**</w:t>
      </w:r>
    </w:p>
    <w:p w:rsidR="008D36F2" w:rsidRDefault="008D36F2" w:rsidP="002F2D5C">
      <w:pPr>
        <w:pStyle w:val="a5"/>
        <w:numPr>
          <w:ilvl w:val="0"/>
          <w:numId w:val="10"/>
        </w:numPr>
        <w:spacing w:before="0" w:after="0"/>
        <w:ind w:firstLine="709"/>
        <w:rPr>
          <w:i/>
        </w:rPr>
      </w:pPr>
      <w:r>
        <w:rPr>
          <w:i/>
        </w:rPr>
        <w:t>Комбинация иксазомиба**, леналидомида** и дексаметазона**</w:t>
      </w:r>
    </w:p>
    <w:p w:rsidR="00941B7E" w:rsidRDefault="00941B7E" w:rsidP="002F2D5C">
      <w:pPr>
        <w:pStyle w:val="a5"/>
        <w:numPr>
          <w:ilvl w:val="0"/>
          <w:numId w:val="10"/>
        </w:numPr>
        <w:spacing w:before="0" w:after="0"/>
        <w:ind w:firstLine="709"/>
        <w:rPr>
          <w:i/>
        </w:rPr>
      </w:pPr>
      <w:r>
        <w:rPr>
          <w:i/>
        </w:rPr>
        <w:t>Комбинация даратумумаба**, леналидомида** и дексаметазона**</w:t>
      </w:r>
    </w:p>
    <w:p w:rsidR="00941B7E" w:rsidRPr="00941B7E" w:rsidRDefault="00941B7E" w:rsidP="002F2D5C">
      <w:pPr>
        <w:pStyle w:val="a5"/>
        <w:numPr>
          <w:ilvl w:val="0"/>
          <w:numId w:val="10"/>
        </w:numPr>
        <w:spacing w:before="0" w:after="0"/>
        <w:ind w:firstLine="709"/>
        <w:rPr>
          <w:i/>
        </w:rPr>
      </w:pPr>
      <w:r>
        <w:rPr>
          <w:i/>
        </w:rPr>
        <w:t>Комбинация даратумумаба**, бортезомиба** и дексаметазона**</w:t>
      </w:r>
    </w:p>
    <w:p w:rsidR="00941B7E" w:rsidRDefault="00941B7E" w:rsidP="002F2D5C">
      <w:pPr>
        <w:pStyle w:val="a5"/>
        <w:numPr>
          <w:ilvl w:val="0"/>
          <w:numId w:val="10"/>
        </w:numPr>
        <w:spacing w:before="0" w:after="0"/>
        <w:ind w:firstLine="709"/>
        <w:rPr>
          <w:i/>
        </w:rPr>
      </w:pPr>
      <w:r>
        <w:rPr>
          <w:i/>
        </w:rPr>
        <w:t>Комбинация элотузумаба</w:t>
      </w:r>
      <w:r w:rsidR="006E416B" w:rsidRPr="009F1549">
        <w:rPr>
          <w:i/>
        </w:rPr>
        <w:t>**</w:t>
      </w:r>
      <w:r w:rsidRPr="00A62AD3">
        <w:rPr>
          <w:i/>
        </w:rPr>
        <w:t>,</w:t>
      </w:r>
      <w:r>
        <w:rPr>
          <w:i/>
        </w:rPr>
        <w:t xml:space="preserve"> леналидомида** и дексаметазона**</w:t>
      </w:r>
    </w:p>
    <w:p w:rsidR="00970CB0" w:rsidRPr="00BB211A" w:rsidRDefault="00970CB0" w:rsidP="00131E36">
      <w:pPr>
        <w:spacing w:before="0" w:after="0"/>
        <w:ind w:firstLine="709"/>
        <w:contextualSpacing/>
        <w:rPr>
          <w:i/>
        </w:rPr>
      </w:pPr>
      <w:r w:rsidRPr="00970CB0">
        <w:rPr>
          <w:i/>
        </w:rPr>
        <w:t>Для лечения ММ с полинейропатией следует отдавать предпочтение схемам на основе леналидомида</w:t>
      </w:r>
      <w:r w:rsidR="0056051E">
        <w:rPr>
          <w:i/>
        </w:rPr>
        <w:t>**</w:t>
      </w:r>
      <w:r w:rsidRPr="00970CB0">
        <w:rPr>
          <w:i/>
        </w:rPr>
        <w:t xml:space="preserve">, в то время как у </w:t>
      </w:r>
      <w:r w:rsidR="00FB03BB" w:rsidRPr="00FB03BB">
        <w:rPr>
          <w:i/>
        </w:rPr>
        <w:t>пациентов</w:t>
      </w:r>
      <w:r w:rsidRPr="00970CB0">
        <w:rPr>
          <w:i/>
        </w:rPr>
        <w:t xml:space="preserve"> с тромбозами в анамнезе, а также почечной недостаточностью больше подходят программы на основе бортезомиба</w:t>
      </w:r>
      <w:r w:rsidR="0056051E">
        <w:rPr>
          <w:i/>
        </w:rPr>
        <w:t>**</w:t>
      </w:r>
      <w:r w:rsidRPr="00970CB0">
        <w:rPr>
          <w:i/>
        </w:rPr>
        <w:t xml:space="preserve">. У </w:t>
      </w:r>
      <w:r w:rsidR="00FB03BB" w:rsidRPr="00FB03BB">
        <w:rPr>
          <w:i/>
        </w:rPr>
        <w:t>пациентов</w:t>
      </w:r>
      <w:r w:rsidRPr="00970CB0">
        <w:rPr>
          <w:i/>
        </w:rPr>
        <w:t xml:space="preserve"> ММ с почечной </w:t>
      </w:r>
      <w:r w:rsidRPr="00BB211A">
        <w:rPr>
          <w:i/>
        </w:rPr>
        <w:t>недостаточностью также используют программы на основе бендамустина</w:t>
      </w:r>
      <w:r w:rsidR="0056051E">
        <w:rPr>
          <w:i/>
        </w:rPr>
        <w:t>**</w:t>
      </w:r>
      <w:r w:rsidRPr="00BB211A">
        <w:rPr>
          <w:i/>
        </w:rPr>
        <w:t>, карфилзомиба</w:t>
      </w:r>
      <w:r w:rsidR="0056051E">
        <w:rPr>
          <w:i/>
        </w:rPr>
        <w:t>**</w:t>
      </w:r>
      <w:r w:rsidRPr="00BB211A">
        <w:rPr>
          <w:i/>
        </w:rPr>
        <w:t>. При агрес</w:t>
      </w:r>
      <w:r w:rsidR="00006CE0" w:rsidRPr="00BB211A">
        <w:rPr>
          <w:i/>
        </w:rPr>
        <w:t>сивном</w:t>
      </w:r>
      <w:r w:rsidRPr="00BB211A">
        <w:rPr>
          <w:i/>
        </w:rPr>
        <w:t xml:space="preserve"> рецидиве целесообразно использование схем, включающих одновременно бортезомиб</w:t>
      </w:r>
      <w:r w:rsidR="0056051E">
        <w:rPr>
          <w:i/>
        </w:rPr>
        <w:t>**</w:t>
      </w:r>
      <w:r w:rsidRPr="00BB211A">
        <w:rPr>
          <w:i/>
        </w:rPr>
        <w:t xml:space="preserve"> и леналидомид</w:t>
      </w:r>
      <w:r w:rsidR="0056051E">
        <w:rPr>
          <w:i/>
        </w:rPr>
        <w:t>**</w:t>
      </w:r>
      <w:r w:rsidRPr="00BB211A">
        <w:rPr>
          <w:i/>
        </w:rPr>
        <w:t>.</w:t>
      </w:r>
    </w:p>
    <w:p w:rsidR="00040BEB" w:rsidRPr="009D3FBB" w:rsidRDefault="00040BEB" w:rsidP="002F2D5C">
      <w:pPr>
        <w:pStyle w:val="a5"/>
        <w:numPr>
          <w:ilvl w:val="0"/>
          <w:numId w:val="9"/>
        </w:numPr>
        <w:tabs>
          <w:tab w:val="clear" w:pos="348"/>
          <w:tab w:val="num" w:pos="709"/>
        </w:tabs>
        <w:spacing w:before="0" w:after="0"/>
        <w:ind w:left="709" w:hanging="709"/>
      </w:pPr>
      <w:r w:rsidRPr="00430246">
        <w:t>Пациентам с</w:t>
      </w:r>
      <w:r w:rsidR="00A473F6" w:rsidRPr="00430246">
        <w:t xml:space="preserve"> рецидивом ММ</w:t>
      </w:r>
      <w:r w:rsidRPr="00430246">
        <w:t>, которым показана противомиеломная терапия</w:t>
      </w:r>
      <w:r w:rsidR="00B228C7" w:rsidRPr="00430246">
        <w:t xml:space="preserve"> и у которых не развилась рефрактерно</w:t>
      </w:r>
      <w:r w:rsidR="00006CE0" w:rsidRPr="00405C5F">
        <w:t>сть к бортезомибу</w:t>
      </w:r>
      <w:r w:rsidR="00A473F6" w:rsidRPr="00405C5F">
        <w:t>**</w:t>
      </w:r>
      <w:r w:rsidRPr="00405C5F">
        <w:t>,</w:t>
      </w:r>
      <w:r w:rsidR="00B241C1" w:rsidRPr="00405C5F">
        <w:t xml:space="preserve"> в качестве одной из возможных опций</w:t>
      </w:r>
      <w:r w:rsidR="000A156C" w:rsidRPr="00405C5F">
        <w:t xml:space="preserve"> </w:t>
      </w:r>
      <w:r w:rsidR="00FF0C02" w:rsidRPr="00405C5F">
        <w:rPr>
          <w:b/>
        </w:rPr>
        <w:t>рекомендуется</w:t>
      </w:r>
      <w:r w:rsidRPr="00405C5F">
        <w:t xml:space="preserve"> терапия с включением в схему лечени</w:t>
      </w:r>
      <w:r w:rsidR="00215D8C" w:rsidRPr="00405C5F">
        <w:t>я бортезомиба**</w:t>
      </w:r>
      <w:r w:rsidRPr="00405C5F">
        <w:t xml:space="preserve"> в </w:t>
      </w:r>
      <w:r w:rsidRPr="009D3FBB">
        <w:t>сочетании с дексаметазоно</w:t>
      </w:r>
      <w:r w:rsidR="0056051E" w:rsidRPr="009D3FBB">
        <w:t>м** и/или цитостатическими препа</w:t>
      </w:r>
      <w:r w:rsidRPr="00A26662">
        <w:t>ра</w:t>
      </w:r>
      <w:r w:rsidR="0056051E" w:rsidRPr="00A26662">
        <w:t>та</w:t>
      </w:r>
      <w:r w:rsidRPr="00A26662">
        <w:t>ми</w:t>
      </w:r>
      <w:r w:rsidR="008446C4" w:rsidRPr="00A26662">
        <w:t xml:space="preserve"> </w:t>
      </w:r>
      <w:r w:rsidR="00032CFB" w:rsidRPr="00A26662">
        <w:t xml:space="preserve">(описание режимов – см. приложение </w:t>
      </w:r>
      <w:r w:rsidR="00C812D6" w:rsidRPr="00A26662">
        <w:t>А3.1</w:t>
      </w:r>
      <w:r w:rsidR="008446C4" w:rsidRPr="00A26662">
        <w:t>.</w:t>
      </w:r>
      <w:r w:rsidR="00032CFB" w:rsidRPr="00BF55DF">
        <w:t>)</w:t>
      </w:r>
      <w:r w:rsidR="00A25379" w:rsidRPr="00BF55DF">
        <w:t xml:space="preserve"> </w:t>
      </w:r>
      <w:r w:rsidR="00A96FB6" w:rsidRPr="009D3FBB">
        <w:rPr>
          <w:i/>
        </w:rPr>
        <w:fldChar w:fldCharType="begin" w:fldLock="1"/>
      </w:r>
      <w:r w:rsidR="00F74B6B">
        <w:rPr>
          <w:i/>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myeloma","type":"article","volume":"35"},"uris":["http://www.mendeley.com/documents/?uuid=4b51abe8-b4d6-30ad-bad9-00468e013c00"]},{"id":"ITEM-2","itemData":{"DOI":"10.1016/j.clml.2014.03.005","ISSN":"2152-2669","PMID":"25023616","abstract":"INTRODUCTION Bortezomib is administered for a finite course; thus, patients might remain sensitive to bortezomib-based therapy at relapse. We report a meta-analysis of bortezomib-based retreatment in relapsed/refractory myeloma. PATIENTS AND METHODS A systematic literature review identified studies of bortezomib-based retreatment in relapsed/refractory myeloma. Proportions of bortezomib-refractory patients and additional prognostic factors were extracted and used in weighted stratified analyses of TTP and OS. Random-effect pooled estimates were calculated for overall response rate (ORR) and rates of common AEs. RESULTS Twenty-three studies (n = 1051 patients) were identified. Bortezomib was administered intravenously in all studies. Across studies in which data were available, pooled, weighted average ORR was 39.1% (95% confidence interval, 30.8%-47.4%), and pooled, weighted average median TTP and OS were 7.5 and 16.6 months, respectively. Patients with fewer previous therapies (≤ 4) and relapsed (not refractory) patients achieved higher ORRs, of 43.4% and 57.2%, respectively. Random-effects meta-regression analysis confirmed that relapsed patients were associated with a higher ORR by 28 to 41 percentage points versus refractory patients. In relapsed patients, median TTP and OS were 8.5 and 19.7 months, respectively. Common Grade 3/4 AEs included thrombocytopenia (35%), neutropenia (15%), anemia (14%), pneumonia (10%), and peripheral neuropathy (3%). CONCLUSION Based on these findings, bortezomib retreatment is well tolerated and appears efficacious in relapsed patients. In an era of new and emerging treatment options for relapsed and/or refractory myeloma, these data indicate that bortezomib retreatment might be a highly effective option in previously treated patients.","author":[{"dropping-particle":"","family":"Knopf","given":"Kevin B","non-dropping-particle":"","parse-names":false,"suffix":""},{"dropping-particle":"","family":"Duh","given":"Mei Sheng","non-dropping-particle":"","parse-names":false,"suffix":""},{"dropping-particle":"","family":"Lafeuille","given":"Marie-Hélène","non-dropping-particle":"","parse-names":false,"suffix":""},{"dropping-particle":"","family":"Gravel","given":"Jonathan","non-dropping-particle":"","parse-names":false,"suffix":""},{"dropping-particle":"","family":"Lefebvre","given":"Patrick","non-dropping-particle":"","parse-names":false,"suffix":""},{"dropping-particle":"","family":"Niculescu","given":"Liviu","non-dropping-particle":"","parse-names":false,"suffix":""},{"dropping-particle":"","family":"Ba-Mancini","given":"Abbie","non-dropping-particle":"","parse-names":false,"suffix":""},{"dropping-particle":"","family":"Ma","given":"Esprit","non-dropping-particle":"","parse-names":false,"suffix":""},{"dropping-particle":"","family":"Shi","given":"Hongliang","non-dropping-particle":"","parse-names":false,"suffix":""},{"dropping-particle":"","family":"Comenzo","given":"Raymond L","non-dropping-particle":"","parse-names":false,"suffix":""}],"container-title":"Clinical lymphoma, myeloma &amp; leukemia","id":"ITEM-2","issue":"5","issued":{"date-parts":[["2014","10"]]},"page":"380-8","title":"Meta-analysis of the efficacy and safety of bortezomib re-treatment in patients with multiple myeloma.","type":"article-journal","volume":"14"},"uris":["http://www.mendeley.com/documents/?uuid=b3846e4f-86a4-3632-887c-068c5784518c"]},{"id":"ITEM-3","itemData":{"DOI":"10.1002/14651858.CD010816.pub2","ISSN":"1469-493X","PMID":"27096326","abstract":"BACKGROUND Multiple myeloma is a malignancy of plasma cells accounting for approximately 1% of cancers and 12% of haematological malignancies. The first-in-class proteasome inhibitor, bortezomib, is commonly used to treat newly diagnosed as well as relapsed/refractory myeloma, either as single agent or combined with other therapies. OBJECTIVES We conducted a systematic review and meta-analysis to assess the effects of bortezomib on overall survival (OS), progression-free survival (PFS), response rate (RR), health-related quality of life (HRQoL), adverse events (AEs) and treatment-related death (TRD). SEARCH METHODS We searched MEDLINE, the Cochrane Central Register of Controlled Trials and EMBASE (till 27 January 2016) as well as conference proceedings and clinical trial registries for randomised controlled trials (RCTs). SELECTION CRITERIA We included randomised controlled trials (RCTs) that compared i) bortezomib versus no bortezomib with the same background therapy in each arm; ii) bortezomib versus no bortezomib with different background therapy in each arm or compared to other agent(s) and iii) bortezomib dose comparisons and comparisons of different treatment administrations and schedules. DATA COLLECTION AND ANALYSIS Two review authors independently extracted outcomes data and assessed risk of bias. We extracted hazard ratios (HR) and their confidence intervals for OS and PFS and odds ratios (OR) for response rates, AEs and TRD. We contacted trial authors to provide summary statistics if missing. We estimated Logrank statistics which were not available. We extracted HRQoL data, where available. MAIN RESULTS We screened a total of 3667 records, identifying 16 relevant RCTs involving 5626 patients and included 12 trials in the meta-analyses. All trials were randomised and open-label studies. Two trials were published in abstract form and therefore we were unable to assess potential risk of bias in full.There is moderate-quality evidence that bortezomib prolongs OS (four studies, 1586 patients; Peto OR 0.77, 95% CI 0.65 to 0.92) and PFS (five studies, 1855 patients; Peto OR 0.65, 95% CI 0.57 to 0.74) from analysing trials of bortezomib versus no bortezomib with the same background therapy in each arm.There is high-quality evidence that bortezomib prolongs OS (five studies, 2532 patients; Peto OR 0.76, 95% CI 0.67 to 0.88) but low-quality evidence for PFS (four studies, 2489 patients; Peto OR 0.67, 95% CI 0.61 to 0.75) from analysing trials of bortez…","author":[{"dropping-particle":"","family":"Scott","given":"Kathleen","non-dropping-particle":"","parse-names":false,"suffix":""},{"dropping-particle":"","family":"Hayden","given":"Patrick J","non-dropping-particle":"","parse-names":false,"suffix":""},{"dropping-particle":"","family":"Will","given":"Andrea","non-dropping-particle":"","parse-names":false,"suffix":""},{"dropping-particle":"","family":"Wheatley","given":"Keith","non-dropping-particle":"","parse-names":false,"suffix":""},{"dropping-particle":"","family":"Coyne","given":"Imelda","non-dropping-particle":"","parse-names":false,"suffix":""}],"container-title":"The Cochrane database of systematic reviews","id":"ITEM-3","issued":{"date-parts":[["2016","4","20"]]},"page":"CD010816","title":"Bortezomib for the treatment of multiple myeloma.","type":"article-journal","volume":"4"},"uris":["http://www.mendeley.com/documents/?uuid=9ecdc7e8-5097-32cf-a812-bfc887947c9a"]}],"mendeley":{"formattedCitation":"[56–58]","plainTextFormattedCitation":"[56–58]","previouslyFormattedCitation":"[56–58]"},"properties":{"noteIndex":0},"schema":"https://github.com/citation-style-language/schema/raw/master/csl-citation.json"}</w:instrText>
      </w:r>
      <w:r w:rsidR="00A96FB6" w:rsidRPr="009D3FBB">
        <w:rPr>
          <w:i/>
        </w:rPr>
        <w:fldChar w:fldCharType="separate"/>
      </w:r>
      <w:r w:rsidR="00705691" w:rsidRPr="00705691">
        <w:rPr>
          <w:noProof/>
        </w:rPr>
        <w:t>[56–58]</w:t>
      </w:r>
      <w:r w:rsidR="00A96FB6" w:rsidRPr="009D3FBB">
        <w:rPr>
          <w:i/>
        </w:rPr>
        <w:fldChar w:fldCharType="end"/>
      </w:r>
      <w:r w:rsidR="0056051E" w:rsidRPr="009D3FBB">
        <w:t>.</w:t>
      </w:r>
    </w:p>
    <w:p w:rsidR="00040BEB" w:rsidRPr="00BF55DF" w:rsidRDefault="00040BEB" w:rsidP="00131E36">
      <w:pPr>
        <w:pStyle w:val="a5"/>
        <w:spacing w:before="0" w:after="0"/>
        <w:ind w:left="709"/>
        <w:rPr>
          <w:b/>
        </w:rPr>
      </w:pPr>
      <w:r w:rsidRPr="00A26662">
        <w:rPr>
          <w:b/>
        </w:rPr>
        <w:lastRenderedPageBreak/>
        <w:t xml:space="preserve">Уровень убедительности рекомендаций </w:t>
      </w:r>
      <w:r w:rsidR="008446C4" w:rsidRPr="00A26662">
        <w:rPr>
          <w:b/>
        </w:rPr>
        <w:t xml:space="preserve">− </w:t>
      </w:r>
      <w:r w:rsidR="002C4947" w:rsidRPr="00A26662">
        <w:rPr>
          <w:b/>
          <w:lang w:val="en-US"/>
        </w:rPr>
        <w:t>A</w:t>
      </w:r>
      <w:r w:rsidR="00A25379" w:rsidRPr="00A26662">
        <w:rPr>
          <w:b/>
        </w:rPr>
        <w:t xml:space="preserve"> </w:t>
      </w:r>
      <w:r w:rsidRPr="00BF55DF">
        <w:rPr>
          <w:b/>
        </w:rPr>
        <w:t>(уровень достоверности доказательств</w:t>
      </w:r>
      <w:r w:rsidR="00A25379" w:rsidRPr="00BF55DF">
        <w:rPr>
          <w:b/>
        </w:rPr>
        <w:t xml:space="preserve"> </w:t>
      </w:r>
      <w:r w:rsidR="008446C4" w:rsidRPr="00BF55DF">
        <w:rPr>
          <w:b/>
        </w:rPr>
        <w:t xml:space="preserve">− </w:t>
      </w:r>
      <w:r w:rsidR="002C4947" w:rsidRPr="00BF55DF">
        <w:rPr>
          <w:b/>
        </w:rPr>
        <w:t>1</w:t>
      </w:r>
      <w:r w:rsidRPr="00BF55DF">
        <w:rPr>
          <w:b/>
        </w:rPr>
        <w:t>)</w:t>
      </w:r>
    </w:p>
    <w:p w:rsidR="00200F20" w:rsidRPr="00200F20" w:rsidRDefault="00040BEB" w:rsidP="00131E36">
      <w:pPr>
        <w:spacing w:before="0" w:after="0"/>
        <w:ind w:left="709"/>
        <w:contextualSpacing/>
        <w:rPr>
          <w:i/>
        </w:rPr>
      </w:pPr>
      <w:r w:rsidRPr="00BF55DF">
        <w:rPr>
          <w:b/>
        </w:rPr>
        <w:t xml:space="preserve">Комментарий: </w:t>
      </w:r>
      <w:r w:rsidR="00D939A2" w:rsidRPr="00BF55DF">
        <w:rPr>
          <w:i/>
        </w:rPr>
        <w:t>результаты</w:t>
      </w:r>
      <w:r w:rsidR="00D939A2" w:rsidRPr="009D3B20">
        <w:rPr>
          <w:i/>
        </w:rPr>
        <w:t xml:space="preserve"> </w:t>
      </w:r>
      <w:r w:rsidR="00200F20" w:rsidRPr="009D3B20">
        <w:rPr>
          <w:i/>
        </w:rPr>
        <w:t>крупного рандомизированного исследования APEX выявили более высокую эффективность бортезомиба</w:t>
      </w:r>
      <w:r w:rsidR="0056051E" w:rsidRPr="009D3B20">
        <w:rPr>
          <w:i/>
        </w:rPr>
        <w:t>**</w:t>
      </w:r>
      <w:r w:rsidR="00200F20" w:rsidRPr="009D3B20">
        <w:rPr>
          <w:i/>
        </w:rPr>
        <w:t xml:space="preserve"> (43</w:t>
      </w:r>
      <w:r w:rsidR="003738E6">
        <w:rPr>
          <w:i/>
        </w:rPr>
        <w:t> </w:t>
      </w:r>
      <w:r w:rsidR="00200F20" w:rsidRPr="009D3B20">
        <w:rPr>
          <w:i/>
        </w:rPr>
        <w:t>%) по сравнению с дексаметазоном</w:t>
      </w:r>
      <w:r w:rsidR="0056051E" w:rsidRPr="009D3B20">
        <w:rPr>
          <w:i/>
        </w:rPr>
        <w:t>**</w:t>
      </w:r>
      <w:r w:rsidR="00200F20" w:rsidRPr="009D3B20">
        <w:rPr>
          <w:i/>
        </w:rPr>
        <w:t xml:space="preserve"> в высокой дозе (18</w:t>
      </w:r>
      <w:r w:rsidR="003738E6">
        <w:rPr>
          <w:i/>
        </w:rPr>
        <w:t> </w:t>
      </w:r>
      <w:r w:rsidR="00200F20" w:rsidRPr="009D3B20">
        <w:rPr>
          <w:i/>
        </w:rPr>
        <w:t>%), а также улучшение показателей ВДП и ОВ. Добавление дексаметазона</w:t>
      </w:r>
      <w:r w:rsidR="0056051E" w:rsidRPr="009D3B20">
        <w:rPr>
          <w:i/>
        </w:rPr>
        <w:t>**</w:t>
      </w:r>
      <w:r w:rsidR="00200F20" w:rsidRPr="009D3B20">
        <w:rPr>
          <w:i/>
        </w:rPr>
        <w:t xml:space="preserve"> к терапии бортезомибом</w:t>
      </w:r>
      <w:r w:rsidR="0056051E" w:rsidRPr="009D3B20">
        <w:rPr>
          <w:i/>
        </w:rPr>
        <w:t>**</w:t>
      </w:r>
      <w:r w:rsidR="00200F20" w:rsidRPr="009D3B20">
        <w:rPr>
          <w:i/>
        </w:rPr>
        <w:t xml:space="preserve"> (VD) улучшает результаты на 12</w:t>
      </w:r>
      <w:r w:rsidR="00C43878">
        <w:rPr>
          <w:i/>
        </w:rPr>
        <w:t>−</w:t>
      </w:r>
      <w:r w:rsidR="00200F20" w:rsidRPr="009D3B20">
        <w:rPr>
          <w:i/>
        </w:rPr>
        <w:t>18</w:t>
      </w:r>
      <w:r w:rsidR="00C43878">
        <w:rPr>
          <w:i/>
        </w:rPr>
        <w:t> </w:t>
      </w:r>
      <w:r w:rsidR="00200F20" w:rsidRPr="009D3B20">
        <w:rPr>
          <w:i/>
        </w:rPr>
        <w:t>%.</w:t>
      </w:r>
      <w:r w:rsidR="00200F20" w:rsidRPr="00200F20">
        <w:rPr>
          <w:i/>
        </w:rPr>
        <w:t xml:space="preserve"> Программа VD считается одним из стандартов лечения рецидивов/рефрактерной ММ.</w:t>
      </w:r>
    </w:p>
    <w:p w:rsidR="00200F20" w:rsidRPr="00200F20" w:rsidRDefault="00200F20" w:rsidP="00131E36">
      <w:pPr>
        <w:spacing w:before="0" w:after="0"/>
        <w:ind w:left="709"/>
        <w:contextualSpacing/>
        <w:rPr>
          <w:i/>
        </w:rPr>
      </w:pPr>
      <w:r w:rsidRPr="00200F20">
        <w:rPr>
          <w:i/>
        </w:rPr>
        <w:t xml:space="preserve">В рандомизированном исследовании </w:t>
      </w:r>
      <w:r w:rsidRPr="00BA44DC">
        <w:rPr>
          <w:i/>
        </w:rPr>
        <w:t xml:space="preserve">III фазы MMY-3021 было показано, что у </w:t>
      </w:r>
      <w:r w:rsidR="00FB03BB" w:rsidRPr="00BA44DC">
        <w:rPr>
          <w:i/>
        </w:rPr>
        <w:t>пациентов</w:t>
      </w:r>
      <w:r w:rsidRPr="00BA44DC">
        <w:rPr>
          <w:i/>
        </w:rPr>
        <w:t xml:space="preserve"> с рецидивами ММ бортезомиб</w:t>
      </w:r>
      <w:r w:rsidR="0056051E" w:rsidRPr="00BA44DC">
        <w:rPr>
          <w:i/>
        </w:rPr>
        <w:t>**</w:t>
      </w:r>
      <w:r w:rsidRPr="00BA44DC">
        <w:rPr>
          <w:i/>
        </w:rPr>
        <w:t>, вводимый подкожно, не уступает по эффективности бортезомибу</w:t>
      </w:r>
      <w:r w:rsidR="0056051E" w:rsidRPr="00BA44DC">
        <w:rPr>
          <w:i/>
        </w:rPr>
        <w:t>**</w:t>
      </w:r>
      <w:r w:rsidRPr="00BA44DC">
        <w:rPr>
          <w:i/>
        </w:rPr>
        <w:t>, вводимому внутривенно</w:t>
      </w:r>
      <w:r w:rsidR="002E6956">
        <w:rPr>
          <w:i/>
        </w:rPr>
        <w:t xml:space="preserve"> (в/в)</w:t>
      </w:r>
      <w:r w:rsidRPr="00BA44DC">
        <w:rPr>
          <w:i/>
        </w:rPr>
        <w:t>, и позволяет достичь такого же уровня ВДП и ОВ. Более того, при подкожном введении бортезомиба</w:t>
      </w:r>
      <w:r w:rsidR="0056051E" w:rsidRPr="00BA44DC">
        <w:rPr>
          <w:i/>
        </w:rPr>
        <w:t>**</w:t>
      </w:r>
      <w:r w:rsidRPr="00BA44DC">
        <w:rPr>
          <w:i/>
        </w:rPr>
        <w:t xml:space="preserve"> значительно реже, чем при </w:t>
      </w:r>
      <w:r w:rsidR="0023513B">
        <w:rPr>
          <w:i/>
        </w:rPr>
        <w:t>в/в</w:t>
      </w:r>
      <w:r w:rsidR="0023513B" w:rsidRPr="00BA44DC">
        <w:rPr>
          <w:i/>
        </w:rPr>
        <w:t xml:space="preserve"> </w:t>
      </w:r>
      <w:r w:rsidRPr="00BA44DC">
        <w:rPr>
          <w:i/>
        </w:rPr>
        <w:t>введении препарата, развивались нежелательные явления, в том числе периферическая полинейропатия. Таким образом,</w:t>
      </w:r>
      <w:r w:rsidRPr="00200F20">
        <w:rPr>
          <w:i/>
        </w:rPr>
        <w:t xml:space="preserve"> подкожное введение бортезомиба</w:t>
      </w:r>
      <w:r w:rsidR="00F92D50">
        <w:rPr>
          <w:i/>
        </w:rPr>
        <w:t>**</w:t>
      </w:r>
      <w:r w:rsidRPr="00200F20">
        <w:rPr>
          <w:i/>
        </w:rPr>
        <w:t xml:space="preserve"> следует рассматривать как стандартный метод введения препарата у всех пациентов с ММ.</w:t>
      </w:r>
      <w:r w:rsidR="007D4DCB">
        <w:rPr>
          <w:i/>
        </w:rPr>
        <w:t xml:space="preserve"> </w:t>
      </w:r>
    </w:p>
    <w:p w:rsidR="00200F20" w:rsidRPr="00200F20" w:rsidRDefault="00200F20" w:rsidP="00131E36">
      <w:pPr>
        <w:spacing w:before="0" w:after="0"/>
        <w:ind w:left="709"/>
        <w:contextualSpacing/>
        <w:rPr>
          <w:i/>
        </w:rPr>
      </w:pPr>
      <w:r w:rsidRPr="00200F20">
        <w:rPr>
          <w:i/>
        </w:rPr>
        <w:t>Комбинация бортезомиба</w:t>
      </w:r>
      <w:r w:rsidR="0056051E">
        <w:rPr>
          <w:i/>
        </w:rPr>
        <w:t>**</w:t>
      </w:r>
      <w:r w:rsidRPr="00200F20">
        <w:rPr>
          <w:i/>
        </w:rPr>
        <w:t xml:space="preserve"> с циклофосфамидом</w:t>
      </w:r>
      <w:r w:rsidR="0056051E">
        <w:rPr>
          <w:i/>
        </w:rPr>
        <w:t>**</w:t>
      </w:r>
      <w:r w:rsidRPr="00200F20">
        <w:rPr>
          <w:i/>
        </w:rPr>
        <w:t xml:space="preserve"> и дексаметазоном</w:t>
      </w:r>
      <w:r w:rsidR="0056051E">
        <w:rPr>
          <w:i/>
        </w:rPr>
        <w:t>**</w:t>
      </w:r>
      <w:r w:rsidR="00C43878">
        <w:rPr>
          <w:i/>
        </w:rPr>
        <w:t xml:space="preserve"> (VCD, CVD) эффективна у 75−</w:t>
      </w:r>
      <w:r w:rsidRPr="00200F20">
        <w:rPr>
          <w:i/>
        </w:rPr>
        <w:t>82</w:t>
      </w:r>
      <w:r w:rsidR="00C43878">
        <w:rPr>
          <w:i/>
        </w:rPr>
        <w:t> </w:t>
      </w:r>
      <w:r w:rsidRPr="00200F20">
        <w:rPr>
          <w:i/>
        </w:rPr>
        <w:t xml:space="preserve">% пациентов с рецидивами MM, обладает умеренно выраженной токсичностью и может быть использована для проведения терапии этих </w:t>
      </w:r>
      <w:r w:rsidR="00FB03BB" w:rsidRPr="00FB03BB">
        <w:rPr>
          <w:i/>
        </w:rPr>
        <w:t>пациентов</w:t>
      </w:r>
      <w:r w:rsidRPr="00200F20">
        <w:rPr>
          <w:i/>
        </w:rPr>
        <w:t>. Для лечения рецидивов ММ также применяют другие программы с включением бортезомиба</w:t>
      </w:r>
      <w:r w:rsidR="0056051E">
        <w:rPr>
          <w:i/>
        </w:rPr>
        <w:t>**</w:t>
      </w:r>
      <w:r w:rsidRPr="00200F20">
        <w:rPr>
          <w:i/>
        </w:rPr>
        <w:t xml:space="preserve"> (VMP, PAD</w:t>
      </w:r>
      <w:r w:rsidR="00CF7A54" w:rsidRPr="00CF7A54">
        <w:rPr>
          <w:i/>
        </w:rPr>
        <w:t xml:space="preserve">, </w:t>
      </w:r>
      <w:r w:rsidR="00697C98">
        <w:rPr>
          <w:i/>
          <w:lang w:val="en-US"/>
        </w:rPr>
        <w:t>Vel</w:t>
      </w:r>
      <w:r w:rsidR="00697C98" w:rsidRPr="00697C98">
        <w:rPr>
          <w:i/>
        </w:rPr>
        <w:t>-</w:t>
      </w:r>
      <w:r w:rsidR="00697C98">
        <w:rPr>
          <w:i/>
          <w:lang w:val="en-US"/>
        </w:rPr>
        <w:t>PLD</w:t>
      </w:r>
      <w:r w:rsidRPr="00200F20">
        <w:rPr>
          <w:i/>
        </w:rPr>
        <w:t>).</w:t>
      </w:r>
    </w:p>
    <w:p w:rsidR="00040BEB" w:rsidRPr="00DB7A27" w:rsidRDefault="00200F20" w:rsidP="00131E36">
      <w:pPr>
        <w:spacing w:before="0" w:after="0"/>
        <w:ind w:left="709"/>
        <w:contextualSpacing/>
        <w:rPr>
          <w:i/>
        </w:rPr>
      </w:pPr>
      <w:r w:rsidRPr="00BA44DC">
        <w:rPr>
          <w:i/>
        </w:rPr>
        <w:t>Практическое значение имеет вопрос об эффективности повторного использования бортезомиба</w:t>
      </w:r>
      <w:r w:rsidR="0056051E" w:rsidRPr="00BA44DC">
        <w:rPr>
          <w:i/>
        </w:rPr>
        <w:t>**</w:t>
      </w:r>
      <w:r w:rsidRPr="00BA44DC">
        <w:rPr>
          <w:i/>
        </w:rPr>
        <w:t>. По данным проспективного исследования, возобновление лечения бортезомибом</w:t>
      </w:r>
      <w:r w:rsidR="0056051E" w:rsidRPr="00BA44DC">
        <w:rPr>
          <w:i/>
        </w:rPr>
        <w:t>**</w:t>
      </w:r>
      <w:r w:rsidRPr="00BA44DC">
        <w:rPr>
          <w:i/>
        </w:rPr>
        <w:t xml:space="preserve"> эффективно у 40</w:t>
      </w:r>
      <w:r w:rsidR="00C43878">
        <w:rPr>
          <w:i/>
        </w:rPr>
        <w:t> </w:t>
      </w:r>
      <w:r w:rsidRPr="00BA44DC">
        <w:rPr>
          <w:i/>
        </w:rPr>
        <w:t xml:space="preserve">% </w:t>
      </w:r>
      <w:r w:rsidR="00FB03BB" w:rsidRPr="00BA44DC">
        <w:rPr>
          <w:i/>
        </w:rPr>
        <w:t>пациентов</w:t>
      </w:r>
      <w:r w:rsidRPr="00BA44DC">
        <w:rPr>
          <w:i/>
        </w:rPr>
        <w:t>. Результаты одного из ретроспективных исследований показали, что у пациентов, ранее эффективно лечен</w:t>
      </w:r>
      <w:r w:rsidR="003144D3">
        <w:rPr>
          <w:i/>
        </w:rPr>
        <w:t>н</w:t>
      </w:r>
      <w:r w:rsidRPr="00BA44DC">
        <w:rPr>
          <w:i/>
        </w:rPr>
        <w:t>ых бортезомибом</w:t>
      </w:r>
      <w:r w:rsidR="0056051E" w:rsidRPr="00BA44DC">
        <w:rPr>
          <w:i/>
        </w:rPr>
        <w:t>**</w:t>
      </w:r>
      <w:r w:rsidRPr="00BA44DC">
        <w:rPr>
          <w:i/>
        </w:rPr>
        <w:t>, в 63</w:t>
      </w:r>
      <w:r w:rsidR="00C43878">
        <w:rPr>
          <w:i/>
        </w:rPr>
        <w:t> </w:t>
      </w:r>
      <w:r w:rsidRPr="00BA44DC">
        <w:rPr>
          <w:i/>
        </w:rPr>
        <w:t xml:space="preserve">% случаев возобновление лечения </w:t>
      </w:r>
      <w:r w:rsidR="006C5992">
        <w:rPr>
          <w:i/>
        </w:rPr>
        <w:t>этим препаратом</w:t>
      </w:r>
      <w:r w:rsidRPr="00BA44DC">
        <w:rPr>
          <w:i/>
        </w:rPr>
        <w:t xml:space="preserve"> позволило получить противоопухолевый ответ (55</w:t>
      </w:r>
      <w:r w:rsidR="006C5992">
        <w:rPr>
          <w:i/>
        </w:rPr>
        <w:t> </w:t>
      </w:r>
      <w:r w:rsidRPr="00BA44DC">
        <w:rPr>
          <w:i/>
        </w:rPr>
        <w:t xml:space="preserve">% </w:t>
      </w:r>
      <w:r w:rsidR="00FB03BB" w:rsidRPr="00BA44DC">
        <w:rPr>
          <w:i/>
        </w:rPr>
        <w:t>пациентов</w:t>
      </w:r>
      <w:r w:rsidRPr="00BA44DC">
        <w:rPr>
          <w:i/>
        </w:rPr>
        <w:t xml:space="preserve"> получали дексаметазон</w:t>
      </w:r>
      <w:r w:rsidR="00AD2477" w:rsidRPr="00BA44DC">
        <w:rPr>
          <w:i/>
        </w:rPr>
        <w:t>**</w:t>
      </w:r>
      <w:r w:rsidRPr="00BA44DC">
        <w:rPr>
          <w:i/>
        </w:rPr>
        <w:t>). При этом медиана ВДП достигла 9,3 мес, ОВ – 1,7 года.</w:t>
      </w:r>
      <w:r w:rsidRPr="00200F20">
        <w:rPr>
          <w:i/>
        </w:rPr>
        <w:t xml:space="preserve"> Эффективность повторного лечения бортезомибом</w:t>
      </w:r>
      <w:r w:rsidR="0056051E">
        <w:rPr>
          <w:i/>
        </w:rPr>
        <w:t>**</w:t>
      </w:r>
      <w:r w:rsidRPr="00200F20">
        <w:rPr>
          <w:i/>
        </w:rPr>
        <w:t xml:space="preserve"> зависела от длительности интервала без лечения после первоначальной терапии этим препаратом. У пациентов с интервалом без лечения после предшествующего лечения этим препаратом </w:t>
      </w:r>
      <w:r w:rsidR="006C5992" w:rsidRPr="006C5992">
        <w:rPr>
          <w:i/>
        </w:rPr>
        <w:t>&gt;</w:t>
      </w:r>
      <w:r w:rsidRPr="00200F20">
        <w:rPr>
          <w:i/>
        </w:rPr>
        <w:t>6 мес</w:t>
      </w:r>
      <w:r w:rsidR="00E778E9">
        <w:rPr>
          <w:i/>
        </w:rPr>
        <w:t>.</w:t>
      </w:r>
      <w:r w:rsidRPr="00200F20">
        <w:rPr>
          <w:i/>
        </w:rPr>
        <w:t xml:space="preserve"> общая эффективность составила 76,9</w:t>
      </w:r>
      <w:r w:rsidR="006C5992">
        <w:rPr>
          <w:i/>
        </w:rPr>
        <w:t> </w:t>
      </w:r>
      <w:r w:rsidRPr="00200F20">
        <w:rPr>
          <w:i/>
        </w:rPr>
        <w:t xml:space="preserve">%, у </w:t>
      </w:r>
      <w:r w:rsidR="00FB03BB" w:rsidRPr="00FB03BB">
        <w:rPr>
          <w:i/>
        </w:rPr>
        <w:t>пациентов</w:t>
      </w:r>
      <w:r w:rsidRPr="00200F20">
        <w:rPr>
          <w:i/>
        </w:rPr>
        <w:t xml:space="preserve"> с интервалом без лечения </w:t>
      </w:r>
      <w:r w:rsidR="003D6BFB">
        <w:rPr>
          <w:i/>
        </w:rPr>
        <w:t>≤</w:t>
      </w:r>
      <w:r w:rsidRPr="00200F20">
        <w:rPr>
          <w:i/>
        </w:rPr>
        <w:t>6 мес</w:t>
      </w:r>
      <w:r w:rsidR="00E778E9">
        <w:rPr>
          <w:i/>
        </w:rPr>
        <w:t>.</w:t>
      </w:r>
      <w:r w:rsidRPr="00200F20">
        <w:rPr>
          <w:i/>
        </w:rPr>
        <w:t xml:space="preserve"> – 38,1</w:t>
      </w:r>
      <w:r w:rsidR="003D6BFB">
        <w:rPr>
          <w:i/>
        </w:rPr>
        <w:t> </w:t>
      </w:r>
      <w:r w:rsidRPr="00200F20">
        <w:rPr>
          <w:i/>
        </w:rPr>
        <w:t xml:space="preserve">%.  </w:t>
      </w:r>
    </w:p>
    <w:p w:rsidR="00D73B3F" w:rsidRPr="009D3FBB" w:rsidRDefault="00B228C7" w:rsidP="002F2D5C">
      <w:pPr>
        <w:pStyle w:val="a5"/>
        <w:numPr>
          <w:ilvl w:val="0"/>
          <w:numId w:val="9"/>
        </w:numPr>
        <w:tabs>
          <w:tab w:val="clear" w:pos="348"/>
          <w:tab w:val="num" w:pos="709"/>
        </w:tabs>
        <w:spacing w:before="0" w:after="0"/>
        <w:ind w:left="709" w:hanging="709"/>
      </w:pPr>
      <w:r w:rsidRPr="009D3B20">
        <w:lastRenderedPageBreak/>
        <w:t>Пациентам с</w:t>
      </w:r>
      <w:r w:rsidR="004A402B" w:rsidRPr="009D3B20">
        <w:t xml:space="preserve"> рецидивом ММ</w:t>
      </w:r>
      <w:r w:rsidRPr="009D3B20">
        <w:t>, которым показана противомиеломная терапия и у которых не развилас</w:t>
      </w:r>
      <w:r w:rsidR="00006CE0" w:rsidRPr="009D3B20">
        <w:t>ь рефрактерность к</w:t>
      </w:r>
      <w:r w:rsidR="000A156C">
        <w:t xml:space="preserve"> </w:t>
      </w:r>
      <w:r w:rsidRPr="009D3B20">
        <w:t>леналидомиду</w:t>
      </w:r>
      <w:r w:rsidR="0056051E" w:rsidRPr="009D3B20">
        <w:t>**</w:t>
      </w:r>
      <w:r w:rsidRPr="009D3B20">
        <w:t xml:space="preserve">, в качестве одной из возможных опций </w:t>
      </w:r>
      <w:r w:rsidR="00B657E4" w:rsidRPr="009D3B20">
        <w:rPr>
          <w:b/>
        </w:rPr>
        <w:t>рекомендуется</w:t>
      </w:r>
      <w:r w:rsidR="00D73B3F" w:rsidRPr="009D3B20">
        <w:t xml:space="preserve"> терапия с включением в схему лечения </w:t>
      </w:r>
      <w:r w:rsidR="00703049" w:rsidRPr="009D3B20">
        <w:t>леналидомида</w:t>
      </w:r>
      <w:r w:rsidR="00D73B3F" w:rsidRPr="009D3FBB">
        <w:t xml:space="preserve">** в сочетании с дексаметазоном** </w:t>
      </w:r>
      <w:r w:rsidR="00032CFB" w:rsidRPr="009D3FBB">
        <w:t xml:space="preserve">(описание режимов – см. приложение </w:t>
      </w:r>
      <w:r w:rsidR="00C812D6" w:rsidRPr="00A26662">
        <w:t>А3.1</w:t>
      </w:r>
      <w:r w:rsidR="00B46790" w:rsidRPr="00A26662">
        <w:t>.</w:t>
      </w:r>
      <w:r w:rsidR="00032CFB" w:rsidRPr="00A26662">
        <w:t>)</w:t>
      </w:r>
      <w:r w:rsidR="00D939A2" w:rsidRPr="00A26662">
        <w:t xml:space="preserve"> </w:t>
      </w:r>
      <w:r w:rsidR="00A96FB6" w:rsidRPr="009D3FBB">
        <w:rPr>
          <w:i/>
        </w:rPr>
        <w:fldChar w:fldCharType="begin" w:fldLock="1"/>
      </w:r>
      <w:r w:rsidR="00F74B6B">
        <w:rPr>
          <w:i/>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mendeley":{"formattedCitation":"[56]","plainTextFormattedCitation":"[56]","previouslyFormattedCitation":"[56]"},"properties":{"noteIndex":0},"schema":"https://github.com/citation-style-language/schema/raw/master/csl-citation.json"}</w:instrText>
      </w:r>
      <w:r w:rsidR="00A96FB6" w:rsidRPr="009D3FBB">
        <w:rPr>
          <w:i/>
        </w:rPr>
        <w:fldChar w:fldCharType="separate"/>
      </w:r>
      <w:r w:rsidR="00705691" w:rsidRPr="00705691">
        <w:rPr>
          <w:noProof/>
        </w:rPr>
        <w:t>[56]</w:t>
      </w:r>
      <w:r w:rsidR="00A96FB6" w:rsidRPr="009D3FBB">
        <w:rPr>
          <w:i/>
        </w:rPr>
        <w:fldChar w:fldCharType="end"/>
      </w:r>
      <w:r w:rsidR="0056051E" w:rsidRPr="009D3FBB">
        <w:t>.</w:t>
      </w:r>
    </w:p>
    <w:p w:rsidR="00D73B3F" w:rsidRPr="009D3B20" w:rsidRDefault="00D73B3F" w:rsidP="00131E36">
      <w:pPr>
        <w:pStyle w:val="a5"/>
        <w:spacing w:before="0" w:after="0"/>
        <w:ind w:left="709"/>
        <w:rPr>
          <w:b/>
        </w:rPr>
      </w:pPr>
      <w:r w:rsidRPr="009D3B20">
        <w:rPr>
          <w:b/>
        </w:rPr>
        <w:t xml:space="preserve">Уровень убедительности рекомендаций </w:t>
      </w:r>
      <w:r w:rsidR="00B46790">
        <w:rPr>
          <w:b/>
        </w:rPr>
        <w:t xml:space="preserve">− </w:t>
      </w:r>
      <w:r w:rsidR="002C4947" w:rsidRPr="009D3B20">
        <w:rPr>
          <w:b/>
          <w:lang w:val="en-US"/>
        </w:rPr>
        <w:t>A</w:t>
      </w:r>
      <w:r w:rsidR="000A156C">
        <w:rPr>
          <w:b/>
        </w:rPr>
        <w:t xml:space="preserve"> </w:t>
      </w:r>
      <w:r w:rsidRPr="009D3B20">
        <w:rPr>
          <w:b/>
        </w:rPr>
        <w:t>(уровень достоверности доказательств</w:t>
      </w:r>
      <w:r w:rsidR="000A156C">
        <w:rPr>
          <w:b/>
        </w:rPr>
        <w:t xml:space="preserve"> </w:t>
      </w:r>
      <w:r w:rsidR="00B46790">
        <w:rPr>
          <w:b/>
        </w:rPr>
        <w:t xml:space="preserve">− </w:t>
      </w:r>
      <w:r w:rsidR="002C4947" w:rsidRPr="009D3B20">
        <w:rPr>
          <w:b/>
        </w:rPr>
        <w:t>1</w:t>
      </w:r>
      <w:r w:rsidRPr="009D3B20">
        <w:rPr>
          <w:b/>
        </w:rPr>
        <w:t>)</w:t>
      </w:r>
    </w:p>
    <w:p w:rsidR="004E08AC" w:rsidRPr="00890289" w:rsidRDefault="00D73B3F" w:rsidP="00E36DFA">
      <w:pPr>
        <w:pStyle w:val="a3"/>
        <w:spacing w:before="0" w:beforeAutospacing="0" w:after="0" w:afterAutospacing="0" w:line="360" w:lineRule="auto"/>
        <w:ind w:left="709"/>
        <w:contextualSpacing/>
        <w:jc w:val="both"/>
        <w:rPr>
          <w:rFonts w:eastAsia="Calibri"/>
          <w:i/>
          <w:szCs w:val="22"/>
          <w:lang w:eastAsia="en-US"/>
        </w:rPr>
      </w:pPr>
      <w:r w:rsidRPr="009D3B20">
        <w:rPr>
          <w:b/>
        </w:rPr>
        <w:t xml:space="preserve">Комментарий: </w:t>
      </w:r>
      <w:r w:rsidR="00D939A2" w:rsidRPr="00890289">
        <w:rPr>
          <w:rFonts w:eastAsia="Calibri"/>
          <w:i/>
          <w:szCs w:val="22"/>
          <w:lang w:eastAsia="en-US"/>
        </w:rPr>
        <w:t xml:space="preserve">в </w:t>
      </w:r>
      <w:r w:rsidR="004E08AC" w:rsidRPr="00890289">
        <w:rPr>
          <w:rFonts w:eastAsia="Calibri"/>
          <w:i/>
          <w:szCs w:val="22"/>
          <w:lang w:eastAsia="en-US"/>
        </w:rPr>
        <w:t>двух крупных рандомизированных исследованиях III фазы показано, что сочетание леналидомида</w:t>
      </w:r>
      <w:r w:rsidR="00A473F6" w:rsidRPr="00890289">
        <w:rPr>
          <w:rFonts w:eastAsia="Calibri"/>
          <w:i/>
          <w:szCs w:val="22"/>
          <w:lang w:eastAsia="en-US"/>
        </w:rPr>
        <w:t>**</w:t>
      </w:r>
      <w:r w:rsidR="004E08AC" w:rsidRPr="00890289">
        <w:rPr>
          <w:rFonts w:eastAsia="Calibri"/>
          <w:i/>
          <w:szCs w:val="22"/>
          <w:lang w:eastAsia="en-US"/>
        </w:rPr>
        <w:t xml:space="preserve"> с дексаметазоном</w:t>
      </w:r>
      <w:r w:rsidR="00A473F6" w:rsidRPr="00890289">
        <w:rPr>
          <w:rFonts w:eastAsia="Calibri"/>
          <w:i/>
          <w:szCs w:val="22"/>
          <w:lang w:eastAsia="en-US"/>
        </w:rPr>
        <w:t>**</w:t>
      </w:r>
      <w:r w:rsidR="004E08AC" w:rsidRPr="00890289">
        <w:rPr>
          <w:rFonts w:eastAsia="Calibri"/>
          <w:i/>
          <w:szCs w:val="22"/>
          <w:lang w:eastAsia="en-US"/>
        </w:rPr>
        <w:t xml:space="preserve"> существенно превышает по эффективности лечение дексаметазоном</w:t>
      </w:r>
      <w:r w:rsidR="00A473F6" w:rsidRPr="00890289">
        <w:rPr>
          <w:rFonts w:eastAsia="Calibri"/>
          <w:i/>
          <w:szCs w:val="22"/>
          <w:lang w:eastAsia="en-US"/>
        </w:rPr>
        <w:t>**</w:t>
      </w:r>
      <w:r w:rsidR="004E08AC" w:rsidRPr="00890289">
        <w:rPr>
          <w:rFonts w:eastAsia="Calibri"/>
          <w:i/>
          <w:szCs w:val="22"/>
          <w:lang w:eastAsia="en-US"/>
        </w:rPr>
        <w:t xml:space="preserve"> в высокой дозе. Общая эффективность терапии леналидомидом</w:t>
      </w:r>
      <w:r w:rsidR="00A473F6" w:rsidRPr="00890289">
        <w:rPr>
          <w:rFonts w:eastAsia="Calibri"/>
          <w:i/>
          <w:szCs w:val="22"/>
          <w:lang w:eastAsia="en-US"/>
        </w:rPr>
        <w:t>**</w:t>
      </w:r>
      <w:r w:rsidR="004E08AC" w:rsidRPr="00890289">
        <w:rPr>
          <w:rFonts w:eastAsia="Calibri"/>
          <w:i/>
          <w:szCs w:val="22"/>
          <w:lang w:eastAsia="en-US"/>
        </w:rPr>
        <w:t xml:space="preserve"> и дексаметазоном</w:t>
      </w:r>
      <w:r w:rsidR="00A473F6" w:rsidRPr="00890289">
        <w:rPr>
          <w:rFonts w:eastAsia="Calibri"/>
          <w:i/>
          <w:szCs w:val="22"/>
          <w:lang w:eastAsia="en-US"/>
        </w:rPr>
        <w:t>**</w:t>
      </w:r>
      <w:r w:rsidR="004E08AC" w:rsidRPr="00890289">
        <w:rPr>
          <w:rFonts w:eastAsia="Calibri"/>
          <w:i/>
          <w:szCs w:val="22"/>
          <w:lang w:eastAsia="en-US"/>
        </w:rPr>
        <w:t xml:space="preserve"> составила 61 и 60,6</w:t>
      </w:r>
      <w:r w:rsidR="00B46790" w:rsidRPr="00890289">
        <w:rPr>
          <w:rFonts w:eastAsia="Calibri"/>
          <w:i/>
          <w:szCs w:val="22"/>
          <w:lang w:eastAsia="en-US"/>
        </w:rPr>
        <w:t> </w:t>
      </w:r>
      <w:r w:rsidR="004E08AC" w:rsidRPr="00890289">
        <w:rPr>
          <w:rFonts w:eastAsia="Calibri"/>
          <w:i/>
          <w:szCs w:val="22"/>
          <w:lang w:eastAsia="en-US"/>
        </w:rPr>
        <w:t>%, а дексаметазоном</w:t>
      </w:r>
      <w:r w:rsidR="00A473F6" w:rsidRPr="00890289">
        <w:rPr>
          <w:rFonts w:eastAsia="Calibri"/>
          <w:i/>
          <w:szCs w:val="22"/>
          <w:lang w:eastAsia="en-US"/>
        </w:rPr>
        <w:t>**</w:t>
      </w:r>
      <w:r w:rsidR="004E08AC" w:rsidRPr="00890289">
        <w:rPr>
          <w:rFonts w:eastAsia="Calibri"/>
          <w:i/>
          <w:szCs w:val="22"/>
          <w:lang w:eastAsia="en-US"/>
        </w:rPr>
        <w:t xml:space="preserve"> – 19,9 и 24</w:t>
      </w:r>
      <w:r w:rsidR="00B46790" w:rsidRPr="00890289">
        <w:rPr>
          <w:rFonts w:eastAsia="Calibri"/>
          <w:i/>
          <w:szCs w:val="22"/>
          <w:lang w:eastAsia="en-US"/>
        </w:rPr>
        <w:t> </w:t>
      </w:r>
      <w:r w:rsidR="004E08AC" w:rsidRPr="00890289">
        <w:rPr>
          <w:rFonts w:eastAsia="Calibri"/>
          <w:i/>
          <w:szCs w:val="22"/>
          <w:lang w:eastAsia="en-US"/>
        </w:rPr>
        <w:t xml:space="preserve">%. </w:t>
      </w:r>
      <w:r w:rsidR="00B227A1" w:rsidRPr="00890289">
        <w:rPr>
          <w:rFonts w:eastAsia="Calibri"/>
          <w:i/>
          <w:szCs w:val="22"/>
          <w:lang w:eastAsia="en-US"/>
        </w:rPr>
        <w:t>ПР</w:t>
      </w:r>
      <w:r w:rsidR="004E08AC" w:rsidRPr="00890289">
        <w:rPr>
          <w:rFonts w:eastAsia="Calibri"/>
          <w:i/>
          <w:szCs w:val="22"/>
          <w:lang w:eastAsia="en-US"/>
        </w:rPr>
        <w:t xml:space="preserve"> и почти </w:t>
      </w:r>
      <w:r w:rsidR="00B227A1" w:rsidRPr="00890289">
        <w:rPr>
          <w:rFonts w:eastAsia="Calibri"/>
          <w:i/>
          <w:szCs w:val="22"/>
          <w:lang w:eastAsia="en-US"/>
        </w:rPr>
        <w:t>ПР</w:t>
      </w:r>
      <w:r w:rsidR="004E08AC" w:rsidRPr="00890289">
        <w:rPr>
          <w:rFonts w:eastAsia="Calibri"/>
          <w:i/>
          <w:szCs w:val="22"/>
          <w:lang w:eastAsia="en-US"/>
        </w:rPr>
        <w:t xml:space="preserve"> при лечении леналидомидом</w:t>
      </w:r>
      <w:r w:rsidR="00A473F6" w:rsidRPr="00890289">
        <w:rPr>
          <w:rFonts w:eastAsia="Calibri"/>
          <w:i/>
          <w:szCs w:val="22"/>
          <w:lang w:eastAsia="en-US"/>
        </w:rPr>
        <w:t>**</w:t>
      </w:r>
      <w:r w:rsidR="004E08AC" w:rsidRPr="00890289">
        <w:rPr>
          <w:rFonts w:eastAsia="Calibri"/>
          <w:i/>
          <w:szCs w:val="22"/>
          <w:lang w:eastAsia="en-US"/>
        </w:rPr>
        <w:t xml:space="preserve"> и дексаметазоном</w:t>
      </w:r>
      <w:r w:rsidR="00A473F6" w:rsidRPr="00890289">
        <w:rPr>
          <w:rFonts w:eastAsia="Calibri"/>
          <w:i/>
          <w:szCs w:val="22"/>
          <w:lang w:eastAsia="en-US"/>
        </w:rPr>
        <w:t>**</w:t>
      </w:r>
      <w:r w:rsidR="004E08AC" w:rsidRPr="00890289">
        <w:rPr>
          <w:rFonts w:eastAsia="Calibri"/>
          <w:i/>
          <w:szCs w:val="22"/>
          <w:lang w:eastAsia="en-US"/>
        </w:rPr>
        <w:t xml:space="preserve"> получены у 24</w:t>
      </w:r>
      <w:r w:rsidR="00B227A1" w:rsidRPr="00890289">
        <w:rPr>
          <w:rFonts w:eastAsia="Calibri"/>
          <w:i/>
          <w:szCs w:val="22"/>
          <w:lang w:eastAsia="en-US"/>
        </w:rPr>
        <w:t> </w:t>
      </w:r>
      <w:r w:rsidR="004E08AC" w:rsidRPr="00890289">
        <w:rPr>
          <w:rFonts w:eastAsia="Calibri"/>
          <w:i/>
          <w:szCs w:val="22"/>
          <w:lang w:eastAsia="en-US"/>
        </w:rPr>
        <w:t xml:space="preserve">% </w:t>
      </w:r>
      <w:r w:rsidR="00FB03BB" w:rsidRPr="00890289">
        <w:rPr>
          <w:rFonts w:eastAsia="Calibri"/>
          <w:i/>
          <w:szCs w:val="22"/>
          <w:lang w:eastAsia="en-US"/>
        </w:rPr>
        <w:t>пациентов</w:t>
      </w:r>
      <w:r w:rsidR="004E08AC" w:rsidRPr="00890289">
        <w:rPr>
          <w:rFonts w:eastAsia="Calibri"/>
          <w:i/>
          <w:szCs w:val="22"/>
          <w:lang w:eastAsia="en-US"/>
        </w:rPr>
        <w:t>. Медиана ВДП при лечении леналидомидом</w:t>
      </w:r>
      <w:r w:rsidR="00A473F6" w:rsidRPr="00890289">
        <w:rPr>
          <w:rFonts w:eastAsia="Calibri"/>
          <w:i/>
          <w:szCs w:val="22"/>
          <w:lang w:eastAsia="en-US"/>
        </w:rPr>
        <w:t>**</w:t>
      </w:r>
      <w:r w:rsidR="004E08AC" w:rsidRPr="00890289">
        <w:rPr>
          <w:rFonts w:eastAsia="Calibri"/>
          <w:i/>
          <w:szCs w:val="22"/>
          <w:lang w:eastAsia="en-US"/>
        </w:rPr>
        <w:t xml:space="preserve"> и дексаметазоном</w:t>
      </w:r>
      <w:r w:rsidR="00A473F6" w:rsidRPr="00890289">
        <w:rPr>
          <w:rFonts w:eastAsia="Calibri"/>
          <w:i/>
          <w:szCs w:val="22"/>
          <w:lang w:eastAsia="en-US"/>
        </w:rPr>
        <w:t>**</w:t>
      </w:r>
      <w:r w:rsidR="004E08AC" w:rsidRPr="00890289">
        <w:rPr>
          <w:rFonts w:eastAsia="Calibri"/>
          <w:i/>
          <w:szCs w:val="22"/>
          <w:lang w:eastAsia="en-US"/>
        </w:rPr>
        <w:t xml:space="preserve"> составила 11,2 мес</w:t>
      </w:r>
      <w:r w:rsidR="00E778E9">
        <w:rPr>
          <w:rFonts w:eastAsia="Calibri"/>
          <w:i/>
          <w:szCs w:val="22"/>
          <w:lang w:eastAsia="en-US"/>
        </w:rPr>
        <w:t>.</w:t>
      </w:r>
      <w:r w:rsidR="004E08AC" w:rsidRPr="00890289">
        <w:rPr>
          <w:rFonts w:eastAsia="Calibri"/>
          <w:i/>
          <w:szCs w:val="22"/>
          <w:lang w:eastAsia="en-US"/>
        </w:rPr>
        <w:t xml:space="preserve"> (при лечении дексаметазоном</w:t>
      </w:r>
      <w:r w:rsidR="00A473F6" w:rsidRPr="00890289">
        <w:rPr>
          <w:rFonts w:eastAsia="Calibri"/>
          <w:i/>
          <w:szCs w:val="22"/>
          <w:lang w:eastAsia="en-US"/>
        </w:rPr>
        <w:t>**</w:t>
      </w:r>
      <w:r w:rsidR="00B227A1" w:rsidRPr="00890289">
        <w:rPr>
          <w:rFonts w:eastAsia="Calibri"/>
          <w:i/>
          <w:szCs w:val="22"/>
          <w:lang w:eastAsia="en-US"/>
        </w:rPr>
        <w:t xml:space="preserve"> − </w:t>
      </w:r>
      <w:r w:rsidR="004E08AC" w:rsidRPr="00890289">
        <w:rPr>
          <w:rFonts w:eastAsia="Calibri"/>
          <w:i/>
          <w:szCs w:val="22"/>
          <w:lang w:eastAsia="en-US"/>
        </w:rPr>
        <w:t xml:space="preserve"> 4,7 мес</w:t>
      </w:r>
      <w:r w:rsidR="009F1549" w:rsidRPr="00971A8A">
        <w:rPr>
          <w:rFonts w:eastAsia="Calibri"/>
          <w:i/>
          <w:szCs w:val="22"/>
          <w:lang w:eastAsia="en-US"/>
        </w:rPr>
        <w:t>.</w:t>
      </w:r>
      <w:r w:rsidR="004E08AC" w:rsidRPr="00890289">
        <w:rPr>
          <w:rFonts w:eastAsia="Calibri"/>
          <w:i/>
          <w:szCs w:val="22"/>
          <w:lang w:eastAsia="en-US"/>
        </w:rPr>
        <w:t>). Медиана ОВ составила соответственно 35 и 31 мес.</w:t>
      </w:r>
    </w:p>
    <w:p w:rsidR="004E08AC" w:rsidRPr="00890289" w:rsidRDefault="004E08AC" w:rsidP="00E36DFA">
      <w:pPr>
        <w:pStyle w:val="a3"/>
        <w:spacing w:before="0" w:beforeAutospacing="0" w:after="0" w:afterAutospacing="0" w:line="360" w:lineRule="auto"/>
        <w:ind w:left="709"/>
        <w:contextualSpacing/>
        <w:jc w:val="both"/>
        <w:rPr>
          <w:rFonts w:eastAsia="Calibri"/>
          <w:i/>
          <w:szCs w:val="22"/>
          <w:lang w:eastAsia="en-US"/>
        </w:rPr>
      </w:pPr>
      <w:r w:rsidRPr="00890289">
        <w:rPr>
          <w:rFonts w:eastAsia="Calibri"/>
          <w:i/>
          <w:szCs w:val="22"/>
          <w:lang w:eastAsia="en-US"/>
        </w:rPr>
        <w:t>Существуют данные, указывающие на то, что использование леналидомида</w:t>
      </w:r>
      <w:r w:rsidR="00A473F6" w:rsidRPr="00890289">
        <w:rPr>
          <w:rFonts w:eastAsia="Calibri"/>
          <w:i/>
          <w:szCs w:val="22"/>
          <w:lang w:eastAsia="en-US"/>
        </w:rPr>
        <w:t>**</w:t>
      </w:r>
      <w:r w:rsidRPr="00890289">
        <w:rPr>
          <w:rFonts w:eastAsia="Calibri"/>
          <w:i/>
          <w:szCs w:val="22"/>
          <w:lang w:eastAsia="en-US"/>
        </w:rPr>
        <w:t xml:space="preserve"> с дексаметазоном</w:t>
      </w:r>
      <w:r w:rsidR="00A473F6" w:rsidRPr="00890289">
        <w:rPr>
          <w:rFonts w:eastAsia="Calibri"/>
          <w:i/>
          <w:szCs w:val="22"/>
          <w:lang w:eastAsia="en-US"/>
        </w:rPr>
        <w:t>**</w:t>
      </w:r>
      <w:r w:rsidRPr="00890289">
        <w:rPr>
          <w:rFonts w:eastAsia="Calibri"/>
          <w:i/>
          <w:szCs w:val="22"/>
          <w:lang w:eastAsia="en-US"/>
        </w:rPr>
        <w:t xml:space="preserve"> при первом рецидиве более эффективно, чем их применение после многократных курсов терапии спасения. Частота ПР и ОХЧР существенно выше при использовании леналидомида</w:t>
      </w:r>
      <w:r w:rsidR="00A473F6" w:rsidRPr="00890289">
        <w:rPr>
          <w:rFonts w:eastAsia="Calibri"/>
          <w:i/>
          <w:szCs w:val="22"/>
          <w:lang w:eastAsia="en-US"/>
        </w:rPr>
        <w:t>**</w:t>
      </w:r>
      <w:r w:rsidRPr="00890289">
        <w:rPr>
          <w:rFonts w:eastAsia="Calibri"/>
          <w:i/>
          <w:szCs w:val="22"/>
          <w:lang w:eastAsia="en-US"/>
        </w:rPr>
        <w:t xml:space="preserve"> и дексаметазона</w:t>
      </w:r>
      <w:r w:rsidR="00A473F6" w:rsidRPr="00890289">
        <w:rPr>
          <w:rFonts w:eastAsia="Calibri"/>
          <w:i/>
          <w:szCs w:val="22"/>
          <w:lang w:eastAsia="en-US"/>
        </w:rPr>
        <w:t>**</w:t>
      </w:r>
      <w:r w:rsidRPr="00890289">
        <w:rPr>
          <w:rFonts w:eastAsia="Calibri"/>
          <w:i/>
          <w:szCs w:val="22"/>
          <w:lang w:eastAsia="en-US"/>
        </w:rPr>
        <w:t xml:space="preserve"> в качестве терапии </w:t>
      </w:r>
      <w:r w:rsidR="00B227A1" w:rsidRPr="00890289">
        <w:rPr>
          <w:rFonts w:eastAsia="Calibri"/>
          <w:i/>
          <w:szCs w:val="22"/>
          <w:lang w:eastAsia="en-US"/>
        </w:rPr>
        <w:t>2-</w:t>
      </w:r>
      <w:r w:rsidRPr="00890289">
        <w:rPr>
          <w:rFonts w:eastAsia="Calibri"/>
          <w:i/>
          <w:szCs w:val="22"/>
          <w:lang w:eastAsia="en-US"/>
        </w:rPr>
        <w:t xml:space="preserve">й линии, чем при назначении этой программы в качестве терапии </w:t>
      </w:r>
      <w:r w:rsidR="00B227A1" w:rsidRPr="00890289">
        <w:rPr>
          <w:rFonts w:eastAsia="Calibri"/>
          <w:i/>
          <w:szCs w:val="22"/>
          <w:lang w:eastAsia="en-US"/>
        </w:rPr>
        <w:t>3-й</w:t>
      </w:r>
      <w:r w:rsidRPr="00890289">
        <w:rPr>
          <w:rFonts w:eastAsia="Calibri"/>
          <w:i/>
          <w:szCs w:val="22"/>
          <w:lang w:eastAsia="en-US"/>
        </w:rPr>
        <w:t xml:space="preserve"> и последующих линий терапии (39,8</w:t>
      </w:r>
      <w:r w:rsidR="00B227A1" w:rsidRPr="00890289">
        <w:rPr>
          <w:rFonts w:eastAsia="Calibri"/>
          <w:i/>
          <w:szCs w:val="22"/>
          <w:lang w:eastAsia="en-US"/>
        </w:rPr>
        <w:t> </w:t>
      </w:r>
      <w:r w:rsidRPr="00890289">
        <w:rPr>
          <w:rFonts w:eastAsia="Calibri"/>
          <w:i/>
          <w:szCs w:val="22"/>
          <w:lang w:eastAsia="en-US"/>
        </w:rPr>
        <w:t>% по сравнению с 27,7</w:t>
      </w:r>
      <w:r w:rsidR="00B227A1" w:rsidRPr="00890289">
        <w:rPr>
          <w:rFonts w:eastAsia="Calibri"/>
          <w:i/>
          <w:szCs w:val="22"/>
          <w:lang w:eastAsia="en-US"/>
        </w:rPr>
        <w:t> </w:t>
      </w:r>
      <w:r w:rsidRPr="00890289">
        <w:rPr>
          <w:rFonts w:eastAsia="Calibri"/>
          <w:i/>
          <w:szCs w:val="22"/>
          <w:lang w:eastAsia="en-US"/>
        </w:rPr>
        <w:t>%).  Медиана ОВ также существенно продолжительнее, когда леналидомид</w:t>
      </w:r>
      <w:r w:rsidR="00AD2477" w:rsidRPr="00890289">
        <w:rPr>
          <w:rFonts w:eastAsia="Calibri"/>
          <w:i/>
          <w:szCs w:val="22"/>
          <w:lang w:eastAsia="en-US"/>
        </w:rPr>
        <w:t>**</w:t>
      </w:r>
      <w:r w:rsidRPr="00890289">
        <w:rPr>
          <w:rFonts w:eastAsia="Calibri"/>
          <w:i/>
          <w:szCs w:val="22"/>
          <w:lang w:eastAsia="en-US"/>
        </w:rPr>
        <w:t xml:space="preserve"> с дексаметазоном</w:t>
      </w:r>
      <w:r w:rsidR="00AD2477" w:rsidRPr="00890289">
        <w:rPr>
          <w:rFonts w:eastAsia="Calibri"/>
          <w:i/>
          <w:szCs w:val="22"/>
          <w:lang w:eastAsia="en-US"/>
        </w:rPr>
        <w:t>**</w:t>
      </w:r>
      <w:r w:rsidRPr="00890289">
        <w:rPr>
          <w:rFonts w:eastAsia="Calibri"/>
          <w:i/>
          <w:szCs w:val="22"/>
          <w:lang w:eastAsia="en-US"/>
        </w:rPr>
        <w:t xml:space="preserve"> применяли при первом рецидиве, по сравнению с ситуациями, когда данную комбинацию использовали после </w:t>
      </w:r>
      <w:r w:rsidR="006844A0" w:rsidRPr="00890289">
        <w:rPr>
          <w:rFonts w:eastAsia="Calibri"/>
          <w:i/>
          <w:szCs w:val="22"/>
          <w:lang w:eastAsia="en-US"/>
        </w:rPr>
        <w:t>2-</w:t>
      </w:r>
      <w:r w:rsidRPr="00890289">
        <w:rPr>
          <w:rFonts w:eastAsia="Calibri"/>
          <w:i/>
          <w:szCs w:val="22"/>
          <w:lang w:eastAsia="en-US"/>
        </w:rPr>
        <w:t>й и более линий химиотерапии (42 мес</w:t>
      </w:r>
      <w:r w:rsidR="00E778E9">
        <w:rPr>
          <w:rFonts w:eastAsia="Calibri"/>
          <w:i/>
          <w:szCs w:val="22"/>
          <w:lang w:eastAsia="en-US"/>
        </w:rPr>
        <w:t>.</w:t>
      </w:r>
      <w:r w:rsidRPr="00890289">
        <w:rPr>
          <w:rFonts w:eastAsia="Calibri"/>
          <w:i/>
          <w:szCs w:val="22"/>
          <w:lang w:eastAsia="en-US"/>
        </w:rPr>
        <w:t xml:space="preserve"> по сравнению с 35,8 мес</w:t>
      </w:r>
      <w:r w:rsidR="00E778E9">
        <w:rPr>
          <w:rFonts w:eastAsia="Calibri"/>
          <w:i/>
          <w:szCs w:val="22"/>
          <w:lang w:eastAsia="en-US"/>
        </w:rPr>
        <w:t>.</w:t>
      </w:r>
      <w:r w:rsidRPr="00890289">
        <w:rPr>
          <w:rFonts w:eastAsia="Calibri"/>
          <w:i/>
          <w:szCs w:val="22"/>
          <w:lang w:eastAsia="en-US"/>
        </w:rPr>
        <w:t>).</w:t>
      </w:r>
    </w:p>
    <w:p w:rsidR="004E08AC" w:rsidRPr="00890289" w:rsidRDefault="004E08AC" w:rsidP="00E36DFA">
      <w:pPr>
        <w:pStyle w:val="a3"/>
        <w:spacing w:before="0" w:beforeAutospacing="0" w:after="0" w:afterAutospacing="0" w:line="360" w:lineRule="auto"/>
        <w:ind w:left="709"/>
        <w:contextualSpacing/>
        <w:jc w:val="both"/>
        <w:rPr>
          <w:rFonts w:eastAsia="Calibri"/>
          <w:i/>
          <w:szCs w:val="22"/>
          <w:lang w:eastAsia="en-US"/>
        </w:rPr>
      </w:pPr>
      <w:r w:rsidRPr="00890289">
        <w:rPr>
          <w:rFonts w:eastAsia="Calibri"/>
          <w:i/>
          <w:szCs w:val="22"/>
          <w:lang w:eastAsia="en-US"/>
        </w:rPr>
        <w:t xml:space="preserve">В клиническом исследовании VISTA было показано, что при развитии рецидива после </w:t>
      </w:r>
      <w:r w:rsidR="00D2027D" w:rsidRPr="00890289">
        <w:rPr>
          <w:rFonts w:eastAsia="Calibri"/>
          <w:i/>
          <w:szCs w:val="22"/>
          <w:lang w:eastAsia="en-US"/>
        </w:rPr>
        <w:t>1-</w:t>
      </w:r>
      <w:r w:rsidRPr="00890289">
        <w:rPr>
          <w:rFonts w:eastAsia="Calibri"/>
          <w:i/>
          <w:szCs w:val="22"/>
          <w:lang w:eastAsia="en-US"/>
        </w:rPr>
        <w:t>й линии лечения по схеме VMP эффективность программ на основе леналидомида</w:t>
      </w:r>
      <w:r w:rsidR="00A473F6" w:rsidRPr="00890289">
        <w:rPr>
          <w:rFonts w:eastAsia="Calibri"/>
          <w:i/>
          <w:szCs w:val="22"/>
          <w:lang w:eastAsia="en-US"/>
        </w:rPr>
        <w:t>**</w:t>
      </w:r>
      <w:r w:rsidRPr="00890289">
        <w:rPr>
          <w:rFonts w:eastAsia="Calibri"/>
          <w:i/>
          <w:szCs w:val="22"/>
          <w:lang w:eastAsia="en-US"/>
        </w:rPr>
        <w:t xml:space="preserve"> выше (73</w:t>
      </w:r>
      <w:r w:rsidR="00D2027D" w:rsidRPr="00890289">
        <w:rPr>
          <w:rFonts w:eastAsia="Calibri"/>
          <w:i/>
          <w:szCs w:val="22"/>
          <w:lang w:eastAsia="en-US"/>
        </w:rPr>
        <w:t> %) по сравнению с бортезомиб</w:t>
      </w:r>
      <w:r w:rsidRPr="00890289">
        <w:rPr>
          <w:rFonts w:eastAsia="Calibri"/>
          <w:i/>
          <w:szCs w:val="22"/>
          <w:lang w:eastAsia="en-US"/>
        </w:rPr>
        <w:t>содержащей терапией (41</w:t>
      </w:r>
      <w:r w:rsidR="00D2027D" w:rsidRPr="00890289">
        <w:rPr>
          <w:rFonts w:eastAsia="Calibri"/>
          <w:i/>
          <w:szCs w:val="22"/>
          <w:lang w:eastAsia="en-US"/>
        </w:rPr>
        <w:t> </w:t>
      </w:r>
      <w:r w:rsidRPr="00890289">
        <w:rPr>
          <w:rFonts w:eastAsia="Calibri"/>
          <w:i/>
          <w:szCs w:val="22"/>
          <w:lang w:eastAsia="en-US"/>
        </w:rPr>
        <w:t xml:space="preserve">%). </w:t>
      </w:r>
    </w:p>
    <w:p w:rsidR="004E08AC" w:rsidRPr="00890289" w:rsidRDefault="004E08AC" w:rsidP="00E36DFA">
      <w:pPr>
        <w:pStyle w:val="a3"/>
        <w:spacing w:before="0" w:beforeAutospacing="0" w:after="0" w:afterAutospacing="0" w:line="360" w:lineRule="auto"/>
        <w:ind w:left="709"/>
        <w:contextualSpacing/>
        <w:jc w:val="both"/>
        <w:rPr>
          <w:rFonts w:eastAsia="Calibri"/>
          <w:i/>
          <w:szCs w:val="22"/>
          <w:lang w:eastAsia="en-US"/>
        </w:rPr>
      </w:pPr>
      <w:r w:rsidRPr="00890289">
        <w:rPr>
          <w:rFonts w:eastAsia="Calibri"/>
          <w:i/>
          <w:szCs w:val="22"/>
          <w:lang w:eastAsia="en-US"/>
        </w:rPr>
        <w:t>Перед началом терапии леналидомидом</w:t>
      </w:r>
      <w:r w:rsidR="004A402B" w:rsidRPr="00890289">
        <w:rPr>
          <w:rFonts w:eastAsia="Calibri"/>
          <w:i/>
          <w:szCs w:val="22"/>
          <w:lang w:eastAsia="en-US"/>
        </w:rPr>
        <w:t>**</w:t>
      </w:r>
      <w:r w:rsidRPr="00890289">
        <w:rPr>
          <w:rFonts w:eastAsia="Calibri"/>
          <w:i/>
          <w:szCs w:val="22"/>
          <w:lang w:eastAsia="en-US"/>
        </w:rPr>
        <w:t xml:space="preserve"> необходимо оценить функцию почек и провести соответствующую коррекцию дозы препарата</w:t>
      </w:r>
      <w:r w:rsidR="00EE1C7E" w:rsidRPr="00890289">
        <w:rPr>
          <w:rFonts w:eastAsia="Calibri"/>
          <w:i/>
          <w:szCs w:val="22"/>
          <w:lang w:eastAsia="en-US"/>
        </w:rPr>
        <w:t xml:space="preserve"> (см. приложение </w:t>
      </w:r>
      <w:r w:rsidR="00C812D6" w:rsidRPr="00890289">
        <w:rPr>
          <w:rFonts w:eastAsia="Calibri"/>
          <w:i/>
          <w:szCs w:val="22"/>
          <w:lang w:eastAsia="en-US"/>
        </w:rPr>
        <w:t>А3.2</w:t>
      </w:r>
      <w:r w:rsidR="00D2027D" w:rsidRPr="00890289">
        <w:rPr>
          <w:rFonts w:eastAsia="Calibri"/>
          <w:i/>
          <w:szCs w:val="22"/>
          <w:lang w:eastAsia="en-US"/>
        </w:rPr>
        <w:t>.</w:t>
      </w:r>
      <w:r w:rsidR="00EE1C7E" w:rsidRPr="00890289">
        <w:rPr>
          <w:rFonts w:eastAsia="Calibri"/>
          <w:i/>
          <w:szCs w:val="22"/>
          <w:lang w:eastAsia="en-US"/>
        </w:rPr>
        <w:t>)</w:t>
      </w:r>
      <w:r w:rsidRPr="00890289">
        <w:rPr>
          <w:rFonts w:eastAsia="Calibri"/>
          <w:i/>
          <w:szCs w:val="22"/>
          <w:lang w:eastAsia="en-US"/>
        </w:rPr>
        <w:t>.</w:t>
      </w:r>
    </w:p>
    <w:p w:rsidR="004E08AC" w:rsidRPr="00890289" w:rsidRDefault="004E08AC" w:rsidP="00E36DFA">
      <w:pPr>
        <w:pStyle w:val="a3"/>
        <w:spacing w:before="0" w:beforeAutospacing="0" w:after="0" w:afterAutospacing="0" w:line="360" w:lineRule="auto"/>
        <w:ind w:left="709"/>
        <w:contextualSpacing/>
        <w:jc w:val="both"/>
        <w:rPr>
          <w:rFonts w:eastAsia="Calibri"/>
          <w:i/>
          <w:szCs w:val="22"/>
          <w:lang w:eastAsia="en-US"/>
        </w:rPr>
      </w:pPr>
      <w:r w:rsidRPr="00890289">
        <w:rPr>
          <w:rFonts w:eastAsia="Calibri"/>
          <w:i/>
          <w:szCs w:val="22"/>
          <w:lang w:eastAsia="en-US"/>
        </w:rPr>
        <w:t>При лечении леналидомидом</w:t>
      </w:r>
      <w:r w:rsidR="004A402B" w:rsidRPr="00890289">
        <w:rPr>
          <w:rFonts w:eastAsia="Calibri"/>
          <w:i/>
          <w:szCs w:val="22"/>
          <w:lang w:eastAsia="en-US"/>
        </w:rPr>
        <w:t>**</w:t>
      </w:r>
      <w:r w:rsidR="00D2027D" w:rsidRPr="00890289">
        <w:rPr>
          <w:rFonts w:eastAsia="Calibri"/>
          <w:i/>
          <w:szCs w:val="22"/>
          <w:lang w:eastAsia="en-US"/>
        </w:rPr>
        <w:t xml:space="preserve"> </w:t>
      </w:r>
      <w:r w:rsidR="00FB03BB" w:rsidRPr="00890289">
        <w:rPr>
          <w:rFonts w:eastAsia="Calibri"/>
          <w:i/>
          <w:szCs w:val="22"/>
          <w:lang w:eastAsia="en-US"/>
        </w:rPr>
        <w:t>пациентов</w:t>
      </w:r>
      <w:r w:rsidRPr="00890289">
        <w:rPr>
          <w:rFonts w:eastAsia="Calibri"/>
          <w:i/>
          <w:szCs w:val="22"/>
          <w:lang w:eastAsia="en-US"/>
        </w:rPr>
        <w:t xml:space="preserve"> ММ с почечной недостаточностью необходим тщательный контроль за показателями крови из-за более часто </w:t>
      </w:r>
      <w:r w:rsidRPr="00890289">
        <w:rPr>
          <w:rFonts w:eastAsia="Calibri"/>
          <w:i/>
          <w:szCs w:val="22"/>
          <w:lang w:eastAsia="en-US"/>
        </w:rPr>
        <w:lastRenderedPageBreak/>
        <w:t>развивающейся миелосупрессии в процессе лечения, чем при нормальной функции почек.</w:t>
      </w:r>
    </w:p>
    <w:p w:rsidR="004E08AC" w:rsidRPr="00890289" w:rsidRDefault="004E08AC" w:rsidP="00E36DFA">
      <w:pPr>
        <w:pStyle w:val="a3"/>
        <w:spacing w:before="0" w:beforeAutospacing="0" w:after="0" w:afterAutospacing="0" w:line="360" w:lineRule="auto"/>
        <w:ind w:left="709"/>
        <w:contextualSpacing/>
        <w:jc w:val="both"/>
        <w:rPr>
          <w:rFonts w:eastAsia="Calibri"/>
          <w:i/>
          <w:szCs w:val="22"/>
          <w:lang w:eastAsia="en-US"/>
        </w:rPr>
      </w:pPr>
      <w:r w:rsidRPr="00890289">
        <w:rPr>
          <w:rFonts w:eastAsia="Calibri"/>
          <w:i/>
          <w:szCs w:val="22"/>
          <w:lang w:eastAsia="en-US"/>
        </w:rPr>
        <w:t>Для уменьшения частоты развития тромбозов при лечении леналидомидом</w:t>
      </w:r>
      <w:r w:rsidR="004A402B" w:rsidRPr="00890289">
        <w:rPr>
          <w:rFonts w:eastAsia="Calibri"/>
          <w:i/>
          <w:szCs w:val="22"/>
          <w:lang w:eastAsia="en-US"/>
        </w:rPr>
        <w:t>**</w:t>
      </w:r>
      <w:r w:rsidRPr="00890289">
        <w:rPr>
          <w:rFonts w:eastAsia="Calibri"/>
          <w:i/>
          <w:szCs w:val="22"/>
          <w:lang w:eastAsia="en-US"/>
        </w:rPr>
        <w:t xml:space="preserve"> и дексаметазоном</w:t>
      </w:r>
      <w:r w:rsidR="004A402B" w:rsidRPr="00890289">
        <w:rPr>
          <w:rFonts w:eastAsia="Calibri"/>
          <w:i/>
          <w:szCs w:val="22"/>
          <w:lang w:eastAsia="en-US"/>
        </w:rPr>
        <w:t>**</w:t>
      </w:r>
      <w:r w:rsidRPr="00890289">
        <w:rPr>
          <w:rFonts w:eastAsia="Calibri"/>
          <w:i/>
          <w:szCs w:val="22"/>
          <w:lang w:eastAsia="en-US"/>
        </w:rPr>
        <w:t xml:space="preserve"> необходима антикоагулянтная профилактика. Пациентам со стандартным риском венозной тромбоэмболии назначают низкие дозы ацетилсалициловой кислоты (</w:t>
      </w:r>
      <w:r w:rsidR="00942902" w:rsidRPr="00890289">
        <w:rPr>
          <w:rFonts w:eastAsia="Calibri"/>
          <w:i/>
          <w:szCs w:val="22"/>
          <w:lang w:eastAsia="en-US"/>
        </w:rPr>
        <w:t>80</w:t>
      </w:r>
      <w:r w:rsidR="005248AD" w:rsidRPr="00890289">
        <w:rPr>
          <w:rFonts w:eastAsia="Calibri"/>
          <w:i/>
          <w:szCs w:val="22"/>
          <w:lang w:eastAsia="en-US"/>
        </w:rPr>
        <w:t>−</w:t>
      </w:r>
      <w:r w:rsidRPr="00890289">
        <w:rPr>
          <w:rFonts w:eastAsia="Calibri"/>
          <w:i/>
          <w:szCs w:val="22"/>
          <w:lang w:eastAsia="en-US"/>
        </w:rPr>
        <w:t xml:space="preserve">100 мг). При более высоком риске тромбозов, особенно у обездвиженных пациентов, </w:t>
      </w:r>
      <w:r w:rsidR="005248AD" w:rsidRPr="00890289">
        <w:rPr>
          <w:rFonts w:eastAsia="Calibri"/>
          <w:i/>
          <w:szCs w:val="22"/>
          <w:lang w:eastAsia="en-US"/>
        </w:rPr>
        <w:t>лиц</w:t>
      </w:r>
      <w:r w:rsidRPr="00890289">
        <w:rPr>
          <w:rFonts w:eastAsia="Calibri"/>
          <w:i/>
          <w:szCs w:val="22"/>
          <w:lang w:eastAsia="en-US"/>
        </w:rPr>
        <w:t>, имеющих тромбозы или тромбоэмболии в анамнезе</w:t>
      </w:r>
      <w:r w:rsidR="005248AD" w:rsidRPr="00890289">
        <w:rPr>
          <w:rFonts w:eastAsia="Calibri"/>
          <w:i/>
          <w:szCs w:val="22"/>
          <w:lang w:eastAsia="en-US"/>
        </w:rPr>
        <w:t>,</w:t>
      </w:r>
      <w:r w:rsidRPr="00890289">
        <w:rPr>
          <w:rFonts w:eastAsia="Calibri"/>
          <w:i/>
          <w:szCs w:val="22"/>
          <w:lang w:eastAsia="en-US"/>
        </w:rPr>
        <w:t xml:space="preserve"> или у </w:t>
      </w:r>
      <w:r w:rsidR="00534E54">
        <w:rPr>
          <w:rFonts w:eastAsia="Calibri"/>
          <w:i/>
          <w:szCs w:val="22"/>
          <w:lang w:eastAsia="en-US"/>
        </w:rPr>
        <w:t>пациентов</w:t>
      </w:r>
      <w:r w:rsidRPr="00890289">
        <w:rPr>
          <w:rFonts w:eastAsia="Calibri"/>
          <w:i/>
          <w:szCs w:val="22"/>
          <w:lang w:eastAsia="en-US"/>
        </w:rPr>
        <w:t>, получающих эритропоэтин</w:t>
      </w:r>
      <w:r w:rsidR="00FB04F3">
        <w:rPr>
          <w:rFonts w:eastAsia="Calibri"/>
          <w:i/>
          <w:szCs w:val="22"/>
          <w:lang w:eastAsia="en-US"/>
        </w:rPr>
        <w:t>**</w:t>
      </w:r>
      <w:r w:rsidRPr="00890289">
        <w:rPr>
          <w:rFonts w:eastAsia="Calibri"/>
          <w:i/>
          <w:szCs w:val="22"/>
          <w:lang w:eastAsia="en-US"/>
        </w:rPr>
        <w:t>, следует рассмотреть возможность использования профилактической дозы низкомолекулярного гепарина.</w:t>
      </w:r>
    </w:p>
    <w:p w:rsidR="00162CF5" w:rsidRPr="00890289" w:rsidRDefault="004E08AC" w:rsidP="00E36DFA">
      <w:pPr>
        <w:pStyle w:val="a3"/>
        <w:spacing w:before="0" w:beforeAutospacing="0" w:after="0" w:afterAutospacing="0" w:line="360" w:lineRule="auto"/>
        <w:ind w:left="709"/>
        <w:contextualSpacing/>
        <w:jc w:val="both"/>
        <w:rPr>
          <w:rFonts w:eastAsia="Calibri"/>
          <w:i/>
          <w:szCs w:val="22"/>
          <w:lang w:eastAsia="en-US"/>
        </w:rPr>
      </w:pPr>
      <w:r w:rsidRPr="00890289">
        <w:rPr>
          <w:rFonts w:eastAsia="Calibri"/>
          <w:i/>
          <w:szCs w:val="22"/>
          <w:lang w:eastAsia="en-US"/>
        </w:rPr>
        <w:t>В соответствии с накопленным клиническим опытом для улучшения переносимости терапии рекомендуют проводить соответствующую коррекцию дозы дексаметазона</w:t>
      </w:r>
      <w:r w:rsidR="004A402B" w:rsidRPr="00890289">
        <w:rPr>
          <w:rFonts w:eastAsia="Calibri"/>
          <w:i/>
          <w:szCs w:val="22"/>
          <w:lang w:eastAsia="en-US"/>
        </w:rPr>
        <w:t>**</w:t>
      </w:r>
      <w:r w:rsidRPr="00890289">
        <w:rPr>
          <w:rFonts w:eastAsia="Calibri"/>
          <w:i/>
          <w:szCs w:val="22"/>
          <w:lang w:eastAsia="en-US"/>
        </w:rPr>
        <w:t xml:space="preserve"> в зависимости от возраста пациентов.</w:t>
      </w:r>
    </w:p>
    <w:p w:rsidR="002D7F46" w:rsidRDefault="00B228C7" w:rsidP="002F2D5C">
      <w:pPr>
        <w:pStyle w:val="a5"/>
        <w:numPr>
          <w:ilvl w:val="0"/>
          <w:numId w:val="9"/>
        </w:numPr>
        <w:tabs>
          <w:tab w:val="clear" w:pos="348"/>
          <w:tab w:val="num" w:pos="709"/>
        </w:tabs>
        <w:spacing w:before="0" w:after="0"/>
        <w:ind w:left="709" w:hanging="709"/>
      </w:pPr>
      <w:r>
        <w:t>Пациентам с</w:t>
      </w:r>
      <w:r w:rsidR="00A473F6">
        <w:t xml:space="preserve"> рецидивом ММ</w:t>
      </w:r>
      <w:r>
        <w:t xml:space="preserve">, которым показана противомиеломная терапия и </w:t>
      </w:r>
      <w:r w:rsidRPr="00B228C7">
        <w:t xml:space="preserve">у которых не </w:t>
      </w:r>
      <w:r w:rsidRPr="00E34F40">
        <w:t>развилась рефрактерность к бортезомибу</w:t>
      </w:r>
      <w:r w:rsidR="00A473F6">
        <w:t>**</w:t>
      </w:r>
      <w:r w:rsidRPr="00E34F40">
        <w:t xml:space="preserve"> и леналидомиду</w:t>
      </w:r>
      <w:r w:rsidR="00A473F6">
        <w:t>**</w:t>
      </w:r>
      <w:r w:rsidRPr="00E34F40">
        <w:t xml:space="preserve">, </w:t>
      </w:r>
      <w:r w:rsidR="00C86568" w:rsidRPr="00E34F40">
        <w:t>при агрессивном течении</w:t>
      </w:r>
      <w:r w:rsidR="00215D8C" w:rsidRPr="00E34F40">
        <w:t xml:space="preserve"> рецидива</w:t>
      </w:r>
      <w:r w:rsidR="002D7F46" w:rsidRPr="00E34F40">
        <w:t xml:space="preserve"> в качестве одной из возможных опций может быть </w:t>
      </w:r>
      <w:r w:rsidR="002D7F46" w:rsidRPr="00E34F40">
        <w:rPr>
          <w:b/>
        </w:rPr>
        <w:t>рекомендована</w:t>
      </w:r>
      <w:r w:rsidR="002D7F46" w:rsidRPr="00E34F40">
        <w:t xml:space="preserve"> терапия с включением</w:t>
      </w:r>
      <w:r w:rsidR="002D7F46">
        <w:t xml:space="preserve"> в схему лечения</w:t>
      </w:r>
      <w:r w:rsidR="00C531AE">
        <w:t xml:space="preserve"> </w:t>
      </w:r>
      <w:r w:rsidR="00C86568">
        <w:t>бортезомиба**,</w:t>
      </w:r>
      <w:r w:rsidR="000A156C">
        <w:t xml:space="preserve"> </w:t>
      </w:r>
      <w:r w:rsidR="002D7F46">
        <w:t>леналидомида**</w:t>
      </w:r>
      <w:r w:rsidR="00C86568">
        <w:t xml:space="preserve"> и </w:t>
      </w:r>
      <w:r w:rsidR="002D7F46">
        <w:t>дексаметазон</w:t>
      </w:r>
      <w:r w:rsidR="00C86568">
        <w:t>а</w:t>
      </w:r>
      <w:r w:rsidR="002D7F46">
        <w:t xml:space="preserve">** </w:t>
      </w:r>
      <w:r w:rsidR="00032CFB">
        <w:t xml:space="preserve">(описание режимов – см. приложение </w:t>
      </w:r>
      <w:r w:rsidR="00C812D6">
        <w:t>А3.1</w:t>
      </w:r>
      <w:r w:rsidR="00C531AE">
        <w:t>.</w:t>
      </w:r>
      <w:r w:rsidR="00032CFB">
        <w:t>)</w:t>
      </w:r>
      <w:r w:rsidR="00D939A2" w:rsidRPr="00D939A2">
        <w:t xml:space="preserve"> </w:t>
      </w:r>
      <w:r w:rsidR="00A96FB6">
        <w:rPr>
          <w:i/>
        </w:rPr>
        <w:fldChar w:fldCharType="begin" w:fldLock="1"/>
      </w:r>
      <w:r w:rsidR="00F74B6B">
        <w:rPr>
          <w:i/>
        </w:rPr>
        <w:instrText>ADDIN CSL_CITATION {"citationItems":[{"id":"ITEM-1","itemData":{"DOI":"10.1200/jco.2009.27.15_suppl.8536","author":[{"dropping-particle":"","family":"Anderson","given":"K.C.","non-dropping-particle":"","parse-names":false,"suffix":""},{"dropping-particle":"","family":"Jagannath","given":"S.","non-dropping-particle":"","parse-names":false,"suffix":""},{"dropping-particle":"","family":"Jakubowiak","given":"A.","non-dropping-particle":"","parse-names":false,"suffix":""},{"dropping-particle":"","family":"Lonial","given":"S.","non-dropping-particle":"","parse-names":false,"suffix":""},{"dropping-particle":"","family":"Raje","given":"N.","non-dropping-particle":"","parse-names":false,"suffix":""},{"dropping-particle":"","family":"Alsina","given":"M.","non-dropping-particle":"","parse-names":false,"suffix":""},{"dropping-particle":"","family":"Ghobrial","given":"I.","non-dropping-particle":"","parse-names":false,"suffix":""},{"dropping-particle":"","family":"Knight","given":"R.","non-dropping-particle":"","parse-names":false,"suffix":""},{"dropping-particle":"","family":"Esseltine","given":"D.","non-dropping-particle":"","parse-names":false,"suffix":""},{"dropping-particle":"","family":"Richardson","given":"P.","non-dropping-particle":"","parse-names":false,"suffix":""}],"container-title":"Journal of Clinical Oncology","id":"ITEM-1","issue":"15 (Suppl.)","issued":{"date-parts":[["2009"]]},"page":"Abstract 8536","title":"Lenalidomide, bortezomib, and dexamethasone in relapsed/refractory multiple myeloma (MM): Encouraging outcomes and tolerability in a phase II study","type":"article-journal","volume":"27"},"uris":["http://www.mendeley.com/documents/?uuid=e626abc9-b1fb-4470-be82-facc41059486"]}],"mendeley":{"formattedCitation":"[60]","plainTextFormattedCitation":"[60]","previouslyFormattedCitation":"[60]"},"properties":{"noteIndex":0},"schema":"https://github.com/citation-style-language/schema/raw/master/csl-citation.json"}</w:instrText>
      </w:r>
      <w:r w:rsidR="00A96FB6">
        <w:rPr>
          <w:i/>
        </w:rPr>
        <w:fldChar w:fldCharType="separate"/>
      </w:r>
      <w:r w:rsidR="00705691" w:rsidRPr="00705691">
        <w:rPr>
          <w:noProof/>
        </w:rPr>
        <w:t>[60]</w:t>
      </w:r>
      <w:r w:rsidR="00A96FB6">
        <w:rPr>
          <w:i/>
        </w:rPr>
        <w:fldChar w:fldCharType="end"/>
      </w:r>
      <w:r w:rsidR="004A402B">
        <w:t>.</w:t>
      </w:r>
    </w:p>
    <w:p w:rsidR="002D7F46" w:rsidRDefault="002D7F46" w:rsidP="00131E36">
      <w:pPr>
        <w:pStyle w:val="a5"/>
        <w:spacing w:before="0" w:after="0"/>
        <w:ind w:left="709"/>
        <w:rPr>
          <w:b/>
        </w:rPr>
      </w:pPr>
      <w:r w:rsidRPr="00912FAC">
        <w:rPr>
          <w:b/>
        </w:rPr>
        <w:t xml:space="preserve">Уровень убедительности рекомендаций </w:t>
      </w:r>
      <w:r w:rsidR="00C531AE">
        <w:rPr>
          <w:b/>
        </w:rPr>
        <w:t xml:space="preserve">− </w:t>
      </w:r>
      <w:r w:rsidR="006A50CD">
        <w:rPr>
          <w:b/>
        </w:rPr>
        <w:t xml:space="preserve">С </w:t>
      </w:r>
      <w:r w:rsidRPr="00912FAC">
        <w:rPr>
          <w:b/>
        </w:rPr>
        <w:t>(уровень достоверности доказательств</w:t>
      </w:r>
      <w:r w:rsidR="000A156C">
        <w:rPr>
          <w:b/>
        </w:rPr>
        <w:t xml:space="preserve"> </w:t>
      </w:r>
      <w:r w:rsidR="00C531AE">
        <w:rPr>
          <w:b/>
        </w:rPr>
        <w:t xml:space="preserve">− </w:t>
      </w:r>
      <w:r w:rsidR="006A50CD">
        <w:rPr>
          <w:b/>
        </w:rPr>
        <w:t>4</w:t>
      </w:r>
      <w:r w:rsidR="006E390F">
        <w:rPr>
          <w:b/>
        </w:rPr>
        <w:t>)</w:t>
      </w:r>
    </w:p>
    <w:p w:rsidR="00970CB0" w:rsidRPr="009D3FBB" w:rsidRDefault="004A402B" w:rsidP="002F2D5C">
      <w:pPr>
        <w:pStyle w:val="a5"/>
        <w:numPr>
          <w:ilvl w:val="0"/>
          <w:numId w:val="9"/>
        </w:numPr>
        <w:tabs>
          <w:tab w:val="clear" w:pos="348"/>
          <w:tab w:val="num" w:pos="709"/>
        </w:tabs>
        <w:spacing w:before="0" w:after="0"/>
        <w:ind w:left="709" w:hanging="709"/>
      </w:pPr>
      <w:r>
        <w:t>Пациентам с рецидивом ММ</w:t>
      </w:r>
      <w:r w:rsidR="00B228C7">
        <w:t xml:space="preserve">, которым показана противомиеломная терапия и </w:t>
      </w:r>
      <w:r w:rsidR="00B228C7" w:rsidRPr="00B228C7">
        <w:t>у которых не развилась рефрактерность к бортезомибу</w:t>
      </w:r>
      <w:r>
        <w:t>**</w:t>
      </w:r>
      <w:r w:rsidR="00B228C7" w:rsidRPr="00B228C7">
        <w:t xml:space="preserve"> и леналидомиду</w:t>
      </w:r>
      <w:r>
        <w:t>**</w:t>
      </w:r>
      <w:r w:rsidR="00B228C7">
        <w:t xml:space="preserve">, в качестве </w:t>
      </w:r>
      <w:r w:rsidR="00B228C7" w:rsidRPr="009D3FBB">
        <w:t>одн</w:t>
      </w:r>
      <w:r w:rsidR="00B657E4" w:rsidRPr="009D3FBB">
        <w:t xml:space="preserve">ой из возможных опций </w:t>
      </w:r>
      <w:r w:rsidR="00B657E4" w:rsidRPr="009D3FBB">
        <w:rPr>
          <w:b/>
        </w:rPr>
        <w:t>рекомендуется</w:t>
      </w:r>
      <w:r w:rsidR="00970CB0" w:rsidRPr="009D3FBB">
        <w:t xml:space="preserve"> терапия с </w:t>
      </w:r>
      <w:r w:rsidR="009D3FBB">
        <w:t>применением комбинированной</w:t>
      </w:r>
      <w:r w:rsidR="00970CB0" w:rsidRPr="009D3FBB">
        <w:t xml:space="preserve"> </w:t>
      </w:r>
      <w:r w:rsidR="009D3FBB" w:rsidRPr="009D3FBB">
        <w:t>схем</w:t>
      </w:r>
      <w:r w:rsidR="009D3FBB">
        <w:t>ы</w:t>
      </w:r>
      <w:r w:rsidR="009D3FBB" w:rsidRPr="009D3FBB">
        <w:t xml:space="preserve"> </w:t>
      </w:r>
      <w:r w:rsidR="00970CB0" w:rsidRPr="009D3FBB">
        <w:t xml:space="preserve">лечения </w:t>
      </w:r>
      <w:r w:rsidR="003446C4" w:rsidRPr="009D3FBB">
        <w:t>карфилзомиба</w:t>
      </w:r>
      <w:r w:rsidR="00C86568" w:rsidRPr="009D3FBB">
        <w:t>**</w:t>
      </w:r>
      <w:r w:rsidR="003446C4" w:rsidRPr="009D3FBB">
        <w:t xml:space="preserve">, </w:t>
      </w:r>
      <w:r w:rsidR="00970CB0" w:rsidRPr="009D3FBB">
        <w:t xml:space="preserve">леналидомида** </w:t>
      </w:r>
      <w:r w:rsidR="003446C4" w:rsidRPr="009D3FBB">
        <w:t xml:space="preserve">и </w:t>
      </w:r>
      <w:r w:rsidR="00970CB0" w:rsidRPr="009D3FBB">
        <w:t>дексаметазон</w:t>
      </w:r>
      <w:r w:rsidR="003446C4" w:rsidRPr="009D3FBB">
        <w:t>а</w:t>
      </w:r>
      <w:r w:rsidR="00970CB0" w:rsidRPr="009D3FBB">
        <w:t xml:space="preserve">** </w:t>
      </w:r>
      <w:r w:rsidR="00032CFB" w:rsidRPr="009D3FBB">
        <w:t xml:space="preserve">(описание режимов – см. приложение </w:t>
      </w:r>
      <w:r w:rsidR="00C812D6" w:rsidRPr="009D3FBB">
        <w:t>А3.1</w:t>
      </w:r>
      <w:r w:rsidR="004B6355" w:rsidRPr="009D3FBB">
        <w:t>.</w:t>
      </w:r>
      <w:r w:rsidR="001D1AA5" w:rsidRPr="009D3FBB">
        <w:t xml:space="preserve">) </w:t>
      </w:r>
      <w:r w:rsidR="00A96FB6" w:rsidRPr="009D3FBB">
        <w:rPr>
          <w:i/>
        </w:rPr>
        <w:fldChar w:fldCharType="begin" w:fldLock="1"/>
      </w:r>
      <w:r w:rsidR="00F74B6B">
        <w:rPr>
          <w:i/>
        </w:rPr>
        <w:instrText>ADDIN CSL_CITATION {"citationItems":[{"id":"ITEM-1","itemData":{"DOI":"10.18632/oncotarget.25281","ISSN":"19492553","abstract":"© Shah et al. Objective: Carfilzomib (Carf) is a second-generation proteasome inhibitor approved for patients with relapsed and/or refractory multiple myeloma (RRMM) who failed ≥ 1 prior lines of therapy. We performed a systematic review of Carf literature with meta-analysis to determine the efficacy and safety in RRMM patients. Methods: Based on literature search, we included a total of 14 eligible phase I/ II, phase II and phase III Carf based clinical trials. The cumulative incidence and odds ratios (OR) were calculated with random effect model, using ''R'' software with metaphor package. Results: 2906 evaluable RRMM patients from published clinical trials included. The pooled overall response rate (ORR) was 45% (95% CI: 29-62). The pooled clinical benefit rate (CBR) was 56% (95% CI: 41-71). OR from 3 randomized clinical trials showed that Carf significantly improved ORR and CBR compared to control groups (OR 2.4, P &lt; 0.0001; 2.02, P = 0.0007, respectively). Subgroup analysis showed significantly better ORR (P &lt; 0.0001) and CBR (P &lt; 0.001) with combination regimens compared to monotherapy. Response was significantly higher with high dose of Carf (&gt; 20/27 mg/m2) compared to standard dose (ORR 65% vs. 35%, P = 0.03). Compared to control group, the OR of developing cardiotoxicity (P = 0.002) and hypertension (P &lt; 0.0001) were significantly higher with Carf, while no difference in peripheral neuropathy (P = 0.28). Conclusions: Carf produces significantly better responses with acceptable safety profile in RRMM patients. Combination regimens and higher dose Carf offers better response with no significant extra toxicity. Its efficacy is regardless of cytogenetics or disease stage. Incidences of cardiotoxicity and hypertension seem higher with Carf.","author":[{"dropping-particle":"","family":"Shah","given":"Chintan","non-dropping-particle":"","parse-names":false,"suffix":""},{"dropping-particle":"","family":"Bishnoi","given":"Rohit","non-dropping-particle":"","parse-names":false,"suffix":""},{"dropping-particle":"","family":"Wang","given":"Yu","non-dropping-particle":"","parse-names":false,"suffix":""},{"dropping-particle":"","family":"Zou","given":"Fei","non-dropping-particle":"","parse-names":false,"suffix":""},{"dropping-particle":"","family":"Bejjanki","given":"Harini","non-dropping-particle":"","parse-names":false,"suffix":""},{"dropping-particle":"","family":"Master","given":"Samip","non-dropping-particle":"","parse-names":false,"suffix":""},{"dropping-particle":"","family":"Moreb","given":"Jan S.","non-dropping-particle":"","parse-names":false,"suffix":""}],"container-title":"Oncotarget","id":"ITEM-1","issue":"34","issued":{"date-parts":[["2018","5","1"]]},"page":"23704-23717","publisher":"Impact Journals LLC","title":"Efficacy and safety of carfilzomib in relapsed and/or refractory multiple myeloma: Systematic review and meta-analysis of 14 trials","type":"article-journal","volume":"9"},"uris":["http://www.mendeley.com/documents/?uuid=7eecef4a-18ac-3907-997e-dffa8592d14d"]}],"mendeley":{"formattedCitation":"[61]","plainTextFormattedCitation":"[61]","previouslyFormattedCitation":"[61]"},"properties":{"noteIndex":0},"schema":"https://github.com/citation-style-language/schema/raw/master/csl-citation.json"}</w:instrText>
      </w:r>
      <w:r w:rsidR="00A96FB6" w:rsidRPr="009D3FBB">
        <w:rPr>
          <w:i/>
        </w:rPr>
        <w:fldChar w:fldCharType="separate"/>
      </w:r>
      <w:r w:rsidR="00705691" w:rsidRPr="00705691">
        <w:rPr>
          <w:noProof/>
        </w:rPr>
        <w:t>[61]</w:t>
      </w:r>
      <w:r w:rsidR="00A96FB6" w:rsidRPr="009D3FBB">
        <w:rPr>
          <w:i/>
        </w:rPr>
        <w:fldChar w:fldCharType="end"/>
      </w:r>
      <w:r w:rsidRPr="009D3FBB">
        <w:t>.</w:t>
      </w:r>
    </w:p>
    <w:p w:rsidR="00970CB0" w:rsidRDefault="00970CB0" w:rsidP="00131E36">
      <w:pPr>
        <w:pStyle w:val="a5"/>
        <w:spacing w:before="0" w:after="0"/>
        <w:ind w:left="709"/>
        <w:rPr>
          <w:b/>
        </w:rPr>
      </w:pPr>
      <w:r w:rsidRPr="009D3FBB">
        <w:rPr>
          <w:b/>
        </w:rPr>
        <w:t xml:space="preserve">Уровень убедительности рекомендаций </w:t>
      </w:r>
      <w:r w:rsidR="004B6355" w:rsidRPr="009D3FBB">
        <w:rPr>
          <w:b/>
        </w:rPr>
        <w:t xml:space="preserve">− </w:t>
      </w:r>
      <w:r w:rsidR="004A402B" w:rsidRPr="009D3FBB">
        <w:rPr>
          <w:b/>
          <w:lang w:val="en-US"/>
        </w:rPr>
        <w:t>A</w:t>
      </w:r>
      <w:r w:rsidR="00D939A2" w:rsidRPr="009D3FBB">
        <w:rPr>
          <w:b/>
        </w:rPr>
        <w:t xml:space="preserve"> </w:t>
      </w:r>
      <w:r w:rsidRPr="009D3FBB">
        <w:rPr>
          <w:b/>
        </w:rPr>
        <w:t>(уровень достоверности доказательств</w:t>
      </w:r>
      <w:r w:rsidR="00D939A2" w:rsidRPr="00A26662">
        <w:rPr>
          <w:b/>
        </w:rPr>
        <w:t xml:space="preserve"> </w:t>
      </w:r>
      <w:r w:rsidR="004B6355" w:rsidRPr="00A26662">
        <w:rPr>
          <w:b/>
        </w:rPr>
        <w:t xml:space="preserve">− </w:t>
      </w:r>
      <w:r w:rsidR="004A402B" w:rsidRPr="00A26662">
        <w:rPr>
          <w:b/>
        </w:rPr>
        <w:t>1</w:t>
      </w:r>
      <w:r w:rsidRPr="00A26662">
        <w:rPr>
          <w:b/>
        </w:rPr>
        <w:t>)</w:t>
      </w:r>
    </w:p>
    <w:p w:rsidR="001F641D" w:rsidRDefault="00970CB0" w:rsidP="00131E36">
      <w:pPr>
        <w:pStyle w:val="a5"/>
        <w:spacing w:before="0" w:after="0"/>
        <w:ind w:left="709"/>
        <w:rPr>
          <w:i/>
        </w:rPr>
      </w:pPr>
      <w:r w:rsidRPr="00912FAC">
        <w:rPr>
          <w:b/>
        </w:rPr>
        <w:t xml:space="preserve">Комментарий: </w:t>
      </w:r>
      <w:r w:rsidR="00D939A2" w:rsidRPr="002D7F46">
        <w:rPr>
          <w:i/>
        </w:rPr>
        <w:t xml:space="preserve">в </w:t>
      </w:r>
      <w:r w:rsidR="002D7F46" w:rsidRPr="002D7F46">
        <w:rPr>
          <w:i/>
        </w:rPr>
        <w:t>крупном рандомизированном исследовании III фазы ASPIRE было показано, что добавление карфилзомиба</w:t>
      </w:r>
      <w:r w:rsidR="004A402B">
        <w:rPr>
          <w:i/>
        </w:rPr>
        <w:t>**</w:t>
      </w:r>
      <w:r w:rsidR="002D7F46" w:rsidRPr="002D7F46">
        <w:rPr>
          <w:i/>
        </w:rPr>
        <w:t xml:space="preserve"> к сочетанию леналидомида</w:t>
      </w:r>
      <w:r w:rsidR="00AD2477">
        <w:rPr>
          <w:i/>
        </w:rPr>
        <w:t>**</w:t>
      </w:r>
      <w:r w:rsidR="002D7F46" w:rsidRPr="002D7F46">
        <w:rPr>
          <w:i/>
        </w:rPr>
        <w:t xml:space="preserve"> и дексаметазона</w:t>
      </w:r>
      <w:r w:rsidR="00AD2477">
        <w:rPr>
          <w:i/>
        </w:rPr>
        <w:t>**</w:t>
      </w:r>
      <w:r w:rsidR="002D7F46" w:rsidRPr="002D7F46">
        <w:rPr>
          <w:i/>
        </w:rPr>
        <w:t xml:space="preserve"> значительно улучшает ВБП и ОВ у пациентов с рецидивами ММ. Медиана ВБП составила 26,3 мес</w:t>
      </w:r>
      <w:r w:rsidR="00E778E9">
        <w:rPr>
          <w:i/>
        </w:rPr>
        <w:t>.</w:t>
      </w:r>
      <w:r w:rsidR="002D7F46" w:rsidRPr="002D7F46">
        <w:rPr>
          <w:i/>
        </w:rPr>
        <w:t xml:space="preserve"> в группе </w:t>
      </w:r>
      <w:r w:rsidR="00FB03BB" w:rsidRPr="00FB03BB">
        <w:rPr>
          <w:i/>
        </w:rPr>
        <w:t>пациентов</w:t>
      </w:r>
      <w:r w:rsidR="002D7F46" w:rsidRPr="002D7F46">
        <w:rPr>
          <w:i/>
        </w:rPr>
        <w:t>, получавших карфилзомиб</w:t>
      </w:r>
      <w:r w:rsidR="004A402B">
        <w:rPr>
          <w:i/>
        </w:rPr>
        <w:t>**</w:t>
      </w:r>
      <w:r w:rsidR="002D7F46" w:rsidRPr="002D7F46">
        <w:rPr>
          <w:i/>
        </w:rPr>
        <w:t xml:space="preserve"> и 17,6 мес</w:t>
      </w:r>
      <w:r w:rsidR="00E778E9">
        <w:rPr>
          <w:i/>
        </w:rPr>
        <w:t>.</w:t>
      </w:r>
      <w:r w:rsidR="002D7F46" w:rsidRPr="002D7F46">
        <w:rPr>
          <w:i/>
        </w:rPr>
        <w:t xml:space="preserve"> у пациентов, получавших только леналидомид</w:t>
      </w:r>
      <w:r w:rsidR="004A402B">
        <w:rPr>
          <w:i/>
        </w:rPr>
        <w:t>**</w:t>
      </w:r>
      <w:r w:rsidR="002D7F46" w:rsidRPr="002D7F46">
        <w:rPr>
          <w:i/>
        </w:rPr>
        <w:t xml:space="preserve"> с дексаметазоном</w:t>
      </w:r>
      <w:r w:rsidR="004A402B">
        <w:rPr>
          <w:i/>
        </w:rPr>
        <w:t>**</w:t>
      </w:r>
      <w:r w:rsidR="002D7F46" w:rsidRPr="002D7F46">
        <w:rPr>
          <w:i/>
        </w:rPr>
        <w:t>; медиана ОВ – 48,3 мес</w:t>
      </w:r>
      <w:r w:rsidR="00E778E9">
        <w:rPr>
          <w:i/>
        </w:rPr>
        <w:t>.</w:t>
      </w:r>
      <w:r w:rsidR="002D7F46" w:rsidRPr="002D7F46">
        <w:rPr>
          <w:i/>
        </w:rPr>
        <w:t xml:space="preserve"> против 40,4 мес</w:t>
      </w:r>
      <w:r w:rsidR="00E778E9">
        <w:rPr>
          <w:i/>
        </w:rPr>
        <w:t>.</w:t>
      </w:r>
      <w:r w:rsidR="002D7F46" w:rsidRPr="002D7F46">
        <w:rPr>
          <w:i/>
        </w:rPr>
        <w:t xml:space="preserve"> соответственно. Частота ремиссий </w:t>
      </w:r>
      <w:r w:rsidR="002D7F46" w:rsidRPr="002D7F46">
        <w:rPr>
          <w:i/>
        </w:rPr>
        <w:lastRenderedPageBreak/>
        <w:t xml:space="preserve">также была значительно выше в группе </w:t>
      </w:r>
      <w:r w:rsidR="00FB03BB" w:rsidRPr="00FB03BB">
        <w:rPr>
          <w:i/>
        </w:rPr>
        <w:t>пациентов</w:t>
      </w:r>
      <w:r w:rsidR="002D7F46" w:rsidRPr="002D7F46">
        <w:rPr>
          <w:i/>
        </w:rPr>
        <w:t>, получавших карфилзомиб</w:t>
      </w:r>
      <w:r w:rsidR="004A402B">
        <w:rPr>
          <w:i/>
        </w:rPr>
        <w:t>**</w:t>
      </w:r>
      <w:r w:rsidR="002D7F46" w:rsidRPr="002D7F46">
        <w:rPr>
          <w:i/>
        </w:rPr>
        <w:t>, и составила 87,1</w:t>
      </w:r>
      <w:r w:rsidR="004B6355">
        <w:rPr>
          <w:i/>
        </w:rPr>
        <w:t> </w:t>
      </w:r>
      <w:r w:rsidR="002D7F46" w:rsidRPr="002D7F46">
        <w:rPr>
          <w:i/>
        </w:rPr>
        <w:t>% (по сравнению с 66,7</w:t>
      </w:r>
      <w:r w:rsidR="004B6355">
        <w:rPr>
          <w:i/>
        </w:rPr>
        <w:t> </w:t>
      </w:r>
      <w:r w:rsidR="002D7F46" w:rsidRPr="002D7F46">
        <w:rPr>
          <w:i/>
        </w:rPr>
        <w:t xml:space="preserve">% в контрольной группе), а частота </w:t>
      </w:r>
      <w:r w:rsidR="004B6355">
        <w:rPr>
          <w:i/>
        </w:rPr>
        <w:t>ПР</w:t>
      </w:r>
      <w:r w:rsidR="002D7F46" w:rsidRPr="002D7F46">
        <w:rPr>
          <w:i/>
        </w:rPr>
        <w:t xml:space="preserve"> составила 31,8</w:t>
      </w:r>
      <w:r w:rsidR="004B6355">
        <w:rPr>
          <w:i/>
        </w:rPr>
        <w:t> </w:t>
      </w:r>
      <w:r w:rsidR="002D7F46" w:rsidRPr="002D7F46">
        <w:rPr>
          <w:i/>
        </w:rPr>
        <w:t>% (9,3</w:t>
      </w:r>
      <w:r w:rsidR="004B6355">
        <w:rPr>
          <w:i/>
        </w:rPr>
        <w:t> </w:t>
      </w:r>
      <w:r w:rsidR="002D7F46" w:rsidRPr="002D7F46">
        <w:rPr>
          <w:i/>
        </w:rPr>
        <w:t>% в контрольной группе). Частота периферической нейропатии была практически одинаковой в обеих группах. Другие негематологические осложнения 3</w:t>
      </w:r>
      <w:r w:rsidR="004B6355">
        <w:rPr>
          <w:i/>
        </w:rPr>
        <w:t>−</w:t>
      </w:r>
      <w:r w:rsidR="002D7F46" w:rsidRPr="002D7F46">
        <w:rPr>
          <w:i/>
        </w:rPr>
        <w:t>4</w:t>
      </w:r>
      <w:r w:rsidR="004B6355">
        <w:rPr>
          <w:i/>
        </w:rPr>
        <w:t>-й</w:t>
      </w:r>
      <w:r w:rsidR="002D7F46" w:rsidRPr="002D7F46">
        <w:rPr>
          <w:i/>
        </w:rPr>
        <w:t xml:space="preserve"> степени встречались чаще при лечении карфилзомибом</w:t>
      </w:r>
      <w:r w:rsidR="00AD2477">
        <w:rPr>
          <w:i/>
        </w:rPr>
        <w:t>**</w:t>
      </w:r>
      <w:r w:rsidR="002D7F46" w:rsidRPr="002D7F46">
        <w:rPr>
          <w:i/>
        </w:rPr>
        <w:t xml:space="preserve"> и включали одышку (2,8 и 1,8</w:t>
      </w:r>
      <w:r w:rsidR="004B6355">
        <w:rPr>
          <w:i/>
        </w:rPr>
        <w:t> </w:t>
      </w:r>
      <w:r w:rsidR="002D7F46" w:rsidRPr="002D7F46">
        <w:rPr>
          <w:i/>
        </w:rPr>
        <w:t>% соответственно), сердечную недостаточность (3,8 и 1,8</w:t>
      </w:r>
      <w:r w:rsidR="004B6355">
        <w:rPr>
          <w:i/>
        </w:rPr>
        <w:t> </w:t>
      </w:r>
      <w:r w:rsidR="002D7F46" w:rsidRPr="002D7F46">
        <w:rPr>
          <w:i/>
        </w:rPr>
        <w:t>% соответственно) и гипертензию (4,3 и 1,8</w:t>
      </w:r>
      <w:r w:rsidR="004B6355">
        <w:rPr>
          <w:i/>
        </w:rPr>
        <w:t> </w:t>
      </w:r>
      <w:r w:rsidR="002D7F46" w:rsidRPr="002D7F46">
        <w:rPr>
          <w:i/>
        </w:rPr>
        <w:t>%). Лечение по схеме KRd рекомендуется при агрессивном течении рецидива</w:t>
      </w:r>
      <w:r w:rsidR="00194E63">
        <w:rPr>
          <w:i/>
        </w:rPr>
        <w:t>,</w:t>
      </w:r>
      <w:r w:rsidR="002D7F46" w:rsidRPr="002D7F46">
        <w:rPr>
          <w:i/>
        </w:rPr>
        <w:t xml:space="preserve"> и его продолжают до прогрессирования или развития неприемлемой токсичности.</w:t>
      </w:r>
    </w:p>
    <w:p w:rsidR="002D7F46" w:rsidRPr="009D3FBB" w:rsidRDefault="00B228C7" w:rsidP="002F2D5C">
      <w:pPr>
        <w:pStyle w:val="a5"/>
        <w:numPr>
          <w:ilvl w:val="0"/>
          <w:numId w:val="9"/>
        </w:numPr>
        <w:tabs>
          <w:tab w:val="clear" w:pos="348"/>
          <w:tab w:val="num" w:pos="709"/>
        </w:tabs>
        <w:spacing w:before="0" w:after="0"/>
        <w:ind w:left="709" w:hanging="709"/>
      </w:pPr>
      <w:r>
        <w:t>Пациентам с</w:t>
      </w:r>
      <w:r w:rsidR="00DB0580">
        <w:t xml:space="preserve"> </w:t>
      </w:r>
      <w:r w:rsidR="00DB0580" w:rsidRPr="009D3FBB">
        <w:t>рецидивом ММ</w:t>
      </w:r>
      <w:r w:rsidRPr="009D3FBB">
        <w:t>, которым показана противомиеломная терапия и у которых не развилась рефр</w:t>
      </w:r>
      <w:r w:rsidR="001D4417" w:rsidRPr="00A26662">
        <w:t>а</w:t>
      </w:r>
      <w:r w:rsidRPr="00A26662">
        <w:t>ктерность к бортезомибу</w:t>
      </w:r>
      <w:r w:rsidR="002603E3" w:rsidRPr="00A26662">
        <w:t>**</w:t>
      </w:r>
      <w:r w:rsidRPr="00A26662">
        <w:t xml:space="preserve"> и леналидомиду</w:t>
      </w:r>
      <w:r w:rsidR="002603E3" w:rsidRPr="00BF55DF">
        <w:t>**</w:t>
      </w:r>
      <w:r w:rsidRPr="00BF55DF">
        <w:t>, в качестве од</w:t>
      </w:r>
      <w:r w:rsidR="00B657E4" w:rsidRPr="00BF55DF">
        <w:t xml:space="preserve">ной из возможных опций </w:t>
      </w:r>
      <w:r w:rsidR="00B657E4" w:rsidRPr="00BF55DF">
        <w:rPr>
          <w:b/>
        </w:rPr>
        <w:t>рекомендуется</w:t>
      </w:r>
      <w:r w:rsidR="002D7F46" w:rsidRPr="00BF55DF">
        <w:t xml:space="preserve"> терапия </w:t>
      </w:r>
      <w:r w:rsidR="009D3FBB" w:rsidRPr="00BF55DF">
        <w:t xml:space="preserve">применением комбинированной </w:t>
      </w:r>
      <w:r w:rsidR="009D3FBB" w:rsidRPr="009D3FBB">
        <w:t xml:space="preserve">схемы </w:t>
      </w:r>
      <w:r w:rsidR="002D7F46" w:rsidRPr="009D3FBB">
        <w:t>лечения карфилзомиба</w:t>
      </w:r>
      <w:r w:rsidR="00C86568" w:rsidRPr="009D3FBB">
        <w:t>**</w:t>
      </w:r>
      <w:r w:rsidR="002D7F46" w:rsidRPr="009D3FBB">
        <w:t xml:space="preserve"> и дексаметазона** </w:t>
      </w:r>
      <w:r w:rsidR="00032CFB" w:rsidRPr="009D3FBB">
        <w:t xml:space="preserve">(описание режимов – см. приложение </w:t>
      </w:r>
      <w:r w:rsidR="00C812D6" w:rsidRPr="009D3FBB">
        <w:t>А3.1</w:t>
      </w:r>
      <w:r w:rsidR="00194E63" w:rsidRPr="009D3FBB">
        <w:t>.</w:t>
      </w:r>
      <w:r w:rsidR="00032CFB" w:rsidRPr="009D3FBB">
        <w:t>)</w:t>
      </w:r>
      <w:r w:rsidR="00F2291F" w:rsidRPr="009D3FBB">
        <w:t xml:space="preserve"> </w:t>
      </w:r>
      <w:r w:rsidR="00F2291F" w:rsidRPr="009D3FBB">
        <w:fldChar w:fldCharType="begin" w:fldLock="1"/>
      </w:r>
      <w:r w:rsidR="00F74B6B">
        <w:instrText>ADDIN CSL_CITATION {"citationItems":[{"id":"ITEM-1","itemData":{"DOI":"10.18632/oncotarget.25281","ISSN":"19492553","abstract":"© Shah et al. Objective: Carfilzomib (Carf) is a second-generation proteasome inhibitor approved for patients with relapsed and/or refractory multiple myeloma (RRMM) who failed ≥ 1 prior lines of therapy. We performed a systematic review of Carf literature with meta-analysis to determine the efficacy and safety in RRMM patients. Methods: Based on literature search, we included a total of 14 eligible phase I/ II, phase II and phase III Carf based clinical trials. The cumulative incidence and odds ratios (OR) were calculated with random effect model, using ''R'' software with metaphor package. Results: 2906 evaluable RRMM patients from published clinical trials included. The pooled overall response rate (ORR) was 45% (95% CI: 29-62). The pooled clinical benefit rate (CBR) was 56% (95% CI: 41-71). OR from 3 randomized clinical trials showed that Carf significantly improved ORR and CBR compared to control groups (OR 2.4, P &lt; 0.0001; 2.02, P = 0.0007, respectively). Subgroup analysis showed significantly better ORR (P &lt; 0.0001) and CBR (P &lt; 0.001) with combination regimens compared to monotherapy. Response was significantly higher with high dose of Carf (&gt; 20/27 mg/m2) compared to standard dose (ORR 65% vs. 35%, P = 0.03). Compared to control group, the OR of developing cardiotoxicity (P = 0.002) and hypertension (P &lt; 0.0001) were significantly higher with Carf, while no difference in peripheral neuropathy (P = 0.28). Conclusions: Carf produces significantly better responses with acceptable safety profile in RRMM patients. Combination regimens and higher dose Carf offers better response with no significant extra toxicity. Its efficacy is regardless of cytogenetics or disease stage. Incidences of cardiotoxicity and hypertension seem higher with Carf.","author":[{"dropping-particle":"","family":"Shah","given":"Chintan","non-dropping-particle":"","parse-names":false,"suffix":""},{"dropping-particle":"","family":"Bishnoi","given":"Rohit","non-dropping-particle":"","parse-names":false,"suffix":""},{"dropping-particle":"","family":"Wang","given":"Yu","non-dropping-particle":"","parse-names":false,"suffix":""},{"dropping-particle":"","family":"Zou","given":"Fei","non-dropping-particle":"","parse-names":false,"suffix":""},{"dropping-particle":"","family":"Bejjanki","given":"Harini","non-dropping-particle":"","parse-names":false,"suffix":""},{"dropping-particle":"","family":"Master","given":"Samip","non-dropping-particle":"","parse-names":false,"suffix":""},{"dropping-particle":"","family":"Moreb","given":"Jan S.","non-dropping-particle":"","parse-names":false,"suffix":""}],"container-title":"Oncotarget","id":"ITEM-1","issue":"34","issued":{"date-parts":[["2018","5","1"]]},"page":"23704-23717","publisher":"Impact Journals LLC","title":"Efficacy and safety of carfilzomib in relapsed and/or refractory multiple myeloma: Systematic review and meta-analysis of 14 trials","type":"article-journal","volume":"9"},"uris":["http://www.mendeley.com/documents/?uuid=7eecef4a-18ac-3907-997e-dffa8592d14d"]}],"mendeley":{"formattedCitation":"[61]","plainTextFormattedCitation":"[61]","previouslyFormattedCitation":"[61]"},"properties":{"noteIndex":0},"schema":"https://github.com/citation-style-language/schema/raw/master/csl-citation.json"}</w:instrText>
      </w:r>
      <w:r w:rsidR="00F2291F" w:rsidRPr="009D3FBB">
        <w:fldChar w:fldCharType="separate"/>
      </w:r>
      <w:r w:rsidR="00705691" w:rsidRPr="00705691">
        <w:rPr>
          <w:noProof/>
        </w:rPr>
        <w:t>[61]</w:t>
      </w:r>
      <w:r w:rsidR="00F2291F" w:rsidRPr="009D3FBB">
        <w:fldChar w:fldCharType="end"/>
      </w:r>
      <w:r w:rsidR="009A5168" w:rsidRPr="009D3FBB">
        <w:t>.</w:t>
      </w:r>
    </w:p>
    <w:p w:rsidR="009E099B" w:rsidRPr="00E34F40" w:rsidRDefault="002D7F46" w:rsidP="00131E36">
      <w:pPr>
        <w:pStyle w:val="a5"/>
        <w:spacing w:before="0" w:after="0"/>
        <w:ind w:left="709"/>
        <w:rPr>
          <w:b/>
        </w:rPr>
      </w:pPr>
      <w:r w:rsidRPr="00A26662">
        <w:rPr>
          <w:b/>
        </w:rPr>
        <w:t xml:space="preserve">Уровень убедительности рекомендаций </w:t>
      </w:r>
      <w:r w:rsidR="00194E63" w:rsidRPr="00A26662">
        <w:rPr>
          <w:b/>
        </w:rPr>
        <w:t xml:space="preserve">− </w:t>
      </w:r>
      <w:r w:rsidR="00BD6788" w:rsidRPr="00A26662">
        <w:rPr>
          <w:b/>
          <w:lang w:val="en-US"/>
        </w:rPr>
        <w:t>A</w:t>
      </w:r>
      <w:r w:rsidR="00D939A2" w:rsidRPr="00BF55DF">
        <w:rPr>
          <w:b/>
        </w:rPr>
        <w:t xml:space="preserve"> </w:t>
      </w:r>
      <w:r w:rsidRPr="00BF55DF">
        <w:rPr>
          <w:b/>
        </w:rPr>
        <w:t>(уровень достоверности доказательств</w:t>
      </w:r>
      <w:r w:rsidR="00D939A2" w:rsidRPr="00BF55DF">
        <w:rPr>
          <w:b/>
        </w:rPr>
        <w:t xml:space="preserve"> </w:t>
      </w:r>
      <w:r w:rsidR="00194E63" w:rsidRPr="00BF55DF">
        <w:rPr>
          <w:b/>
        </w:rPr>
        <w:t xml:space="preserve">− </w:t>
      </w:r>
      <w:r w:rsidR="006E390F" w:rsidRPr="00BF55DF">
        <w:rPr>
          <w:b/>
        </w:rPr>
        <w:t>1)</w:t>
      </w:r>
    </w:p>
    <w:p w:rsidR="002D7F46" w:rsidRDefault="002D7F46" w:rsidP="00131E36">
      <w:pPr>
        <w:pStyle w:val="a5"/>
        <w:spacing w:before="0" w:after="0"/>
        <w:ind w:left="709"/>
        <w:rPr>
          <w:i/>
        </w:rPr>
      </w:pPr>
      <w:r w:rsidRPr="00912FAC">
        <w:rPr>
          <w:b/>
        </w:rPr>
        <w:t xml:space="preserve">Комментарий: </w:t>
      </w:r>
      <w:r w:rsidR="00D939A2" w:rsidRPr="002D7F46">
        <w:rPr>
          <w:i/>
        </w:rPr>
        <w:t xml:space="preserve">в </w:t>
      </w:r>
      <w:r w:rsidRPr="002D7F46">
        <w:rPr>
          <w:i/>
        </w:rPr>
        <w:t>исследовании III фазы ENDEAVOR было показано, что применение комбинации карфилзомиба</w:t>
      </w:r>
      <w:r w:rsidR="006B6D8A">
        <w:rPr>
          <w:i/>
        </w:rPr>
        <w:t>**</w:t>
      </w:r>
      <w:r w:rsidRPr="002D7F46">
        <w:rPr>
          <w:i/>
        </w:rPr>
        <w:t xml:space="preserve"> с дексаметазоном</w:t>
      </w:r>
      <w:r w:rsidR="006B6D8A">
        <w:rPr>
          <w:i/>
        </w:rPr>
        <w:t>**</w:t>
      </w:r>
      <w:r w:rsidRPr="002D7F46">
        <w:rPr>
          <w:i/>
        </w:rPr>
        <w:t xml:space="preserve"> в 2 раза увеличивает ВБП по сравнению с комбинацией бортезомиба</w:t>
      </w:r>
      <w:r w:rsidR="006B6D8A">
        <w:rPr>
          <w:i/>
        </w:rPr>
        <w:t>**</w:t>
      </w:r>
      <w:r w:rsidRPr="002D7F46">
        <w:rPr>
          <w:i/>
        </w:rPr>
        <w:t xml:space="preserve"> с дексаметазоном</w:t>
      </w:r>
      <w:r w:rsidR="006B6D8A">
        <w:rPr>
          <w:i/>
        </w:rPr>
        <w:t>**</w:t>
      </w:r>
      <w:r w:rsidRPr="002D7F46">
        <w:rPr>
          <w:i/>
        </w:rPr>
        <w:t xml:space="preserve"> в </w:t>
      </w:r>
      <w:r w:rsidR="00362C51">
        <w:rPr>
          <w:i/>
        </w:rPr>
        <w:t>этой группе пациентов (18,7 мес</w:t>
      </w:r>
      <w:r w:rsidR="00E778E9">
        <w:rPr>
          <w:i/>
        </w:rPr>
        <w:t>.</w:t>
      </w:r>
      <w:r w:rsidRPr="002D7F46">
        <w:rPr>
          <w:i/>
        </w:rPr>
        <w:t xml:space="preserve"> против 9,4 мес</w:t>
      </w:r>
      <w:r w:rsidR="00E778E9">
        <w:rPr>
          <w:i/>
        </w:rPr>
        <w:t>.</w:t>
      </w:r>
      <w:r w:rsidRPr="002D7F46">
        <w:rPr>
          <w:i/>
        </w:rPr>
        <w:t>); увеличение ОВ при применении карфилзомиба</w:t>
      </w:r>
      <w:r w:rsidR="00B657E4">
        <w:rPr>
          <w:i/>
        </w:rPr>
        <w:t>**</w:t>
      </w:r>
      <w:r w:rsidRPr="002D7F46">
        <w:rPr>
          <w:i/>
        </w:rPr>
        <w:t xml:space="preserve"> также было значимым (47,6 мес</w:t>
      </w:r>
      <w:r w:rsidR="00E778E9">
        <w:rPr>
          <w:i/>
        </w:rPr>
        <w:t>.</w:t>
      </w:r>
      <w:r w:rsidRPr="002D7F46">
        <w:rPr>
          <w:i/>
        </w:rPr>
        <w:t xml:space="preserve"> против 40,0 мес</w:t>
      </w:r>
      <w:r w:rsidR="00E778E9">
        <w:rPr>
          <w:i/>
        </w:rPr>
        <w:t>.</w:t>
      </w:r>
      <w:r w:rsidRPr="002D7F46">
        <w:rPr>
          <w:i/>
        </w:rPr>
        <w:t>). Частота нежелательных явлений 3</w:t>
      </w:r>
      <w:r w:rsidR="00362C51">
        <w:rPr>
          <w:i/>
        </w:rPr>
        <w:t>−</w:t>
      </w:r>
      <w:r w:rsidRPr="002D7F46">
        <w:rPr>
          <w:i/>
        </w:rPr>
        <w:t>4</w:t>
      </w:r>
      <w:r w:rsidR="00362C51">
        <w:rPr>
          <w:i/>
        </w:rPr>
        <w:t>-й</w:t>
      </w:r>
      <w:r w:rsidRPr="002D7F46">
        <w:rPr>
          <w:i/>
        </w:rPr>
        <w:t xml:space="preserve"> степени в группе карфилзомиба</w:t>
      </w:r>
      <w:r w:rsidR="006B6D8A">
        <w:rPr>
          <w:i/>
        </w:rPr>
        <w:t>**</w:t>
      </w:r>
      <w:r w:rsidRPr="002D7F46">
        <w:rPr>
          <w:i/>
        </w:rPr>
        <w:t xml:space="preserve"> была выше по сравнению с группой бортезомиба</w:t>
      </w:r>
      <w:r w:rsidR="006B6D8A">
        <w:rPr>
          <w:i/>
        </w:rPr>
        <w:t>**</w:t>
      </w:r>
      <w:r w:rsidRPr="002D7F46">
        <w:rPr>
          <w:i/>
        </w:rPr>
        <w:t>: гипертензия встречалась у 8,9 и 2,6</w:t>
      </w:r>
      <w:r w:rsidR="00362C51">
        <w:rPr>
          <w:i/>
        </w:rPr>
        <w:t> </w:t>
      </w:r>
      <w:r w:rsidRPr="002D7F46">
        <w:rPr>
          <w:i/>
        </w:rPr>
        <w:t>% пациентов соответственно, одышка – у 5,6 и 2,2</w:t>
      </w:r>
      <w:r w:rsidR="00362C51">
        <w:rPr>
          <w:i/>
        </w:rPr>
        <w:t> </w:t>
      </w:r>
      <w:r w:rsidRPr="002D7F46">
        <w:rPr>
          <w:i/>
        </w:rPr>
        <w:t>%, сердечная недостаточность – у 4,8 и 1,8</w:t>
      </w:r>
      <w:r w:rsidR="00362C51">
        <w:rPr>
          <w:i/>
        </w:rPr>
        <w:t> </w:t>
      </w:r>
      <w:r w:rsidRPr="002D7F46">
        <w:rPr>
          <w:i/>
        </w:rPr>
        <w:t>%, острая почечная недостаточность – у 4,1 и 2,6</w:t>
      </w:r>
      <w:r w:rsidR="00362C51">
        <w:rPr>
          <w:i/>
        </w:rPr>
        <w:t> </w:t>
      </w:r>
      <w:r w:rsidRPr="002D7F46">
        <w:rPr>
          <w:i/>
        </w:rPr>
        <w:t>%. При этом следует обратить внимание на то, что в группе лечения карфилзомибом</w:t>
      </w:r>
      <w:r w:rsidR="006B6D8A">
        <w:rPr>
          <w:i/>
        </w:rPr>
        <w:t>**</w:t>
      </w:r>
      <w:r w:rsidRPr="002D7F46">
        <w:rPr>
          <w:i/>
        </w:rPr>
        <w:t xml:space="preserve"> частота периферической полинейропатии 2</w:t>
      </w:r>
      <w:r w:rsidR="00362C51">
        <w:rPr>
          <w:i/>
        </w:rPr>
        <w:t>-й</w:t>
      </w:r>
      <w:r w:rsidRPr="002D7F46">
        <w:rPr>
          <w:i/>
        </w:rPr>
        <w:t xml:space="preserve"> степени и более была значительно ниже (6</w:t>
      </w:r>
      <w:r w:rsidR="00815D8E">
        <w:rPr>
          <w:i/>
        </w:rPr>
        <w:t> </w:t>
      </w:r>
      <w:r w:rsidRPr="002D7F46">
        <w:rPr>
          <w:i/>
        </w:rPr>
        <w:t xml:space="preserve">%), чем в группе </w:t>
      </w:r>
      <w:r w:rsidR="00FB03BB" w:rsidRPr="00FB03BB">
        <w:rPr>
          <w:i/>
        </w:rPr>
        <w:t>пациентов</w:t>
      </w:r>
      <w:r w:rsidRPr="002D7F46">
        <w:rPr>
          <w:i/>
        </w:rPr>
        <w:t>, получавших бортезомиб</w:t>
      </w:r>
      <w:r w:rsidR="006B6D8A">
        <w:rPr>
          <w:i/>
        </w:rPr>
        <w:t>**</w:t>
      </w:r>
      <w:r w:rsidRPr="002D7F46">
        <w:rPr>
          <w:i/>
        </w:rPr>
        <w:t xml:space="preserve"> (32</w:t>
      </w:r>
      <w:r w:rsidR="00815D8E">
        <w:rPr>
          <w:i/>
        </w:rPr>
        <w:t> </w:t>
      </w:r>
      <w:r w:rsidRPr="002D7F46">
        <w:rPr>
          <w:i/>
        </w:rPr>
        <w:t>%).</w:t>
      </w:r>
    </w:p>
    <w:p w:rsidR="00C86568" w:rsidRPr="009D3FBB" w:rsidRDefault="00B228C7" w:rsidP="002F2D5C">
      <w:pPr>
        <w:pStyle w:val="a5"/>
        <w:numPr>
          <w:ilvl w:val="0"/>
          <w:numId w:val="9"/>
        </w:numPr>
        <w:tabs>
          <w:tab w:val="clear" w:pos="348"/>
          <w:tab w:val="num" w:pos="709"/>
        </w:tabs>
        <w:spacing w:before="0" w:after="0"/>
        <w:ind w:left="709" w:hanging="709"/>
      </w:pPr>
      <w:r w:rsidRPr="009D3FBB">
        <w:t>Пациентам с</w:t>
      </w:r>
      <w:r w:rsidR="00DB0580" w:rsidRPr="009D3FBB">
        <w:t xml:space="preserve"> рецидивом ММ</w:t>
      </w:r>
      <w:r w:rsidRPr="009D3FBB">
        <w:t>, которым показана противомиеломная терапия и у которых не р</w:t>
      </w:r>
      <w:r w:rsidRPr="00A26662">
        <w:t>азвилась рефрактерность к бортезомибу</w:t>
      </w:r>
      <w:r w:rsidR="002B59AA" w:rsidRPr="00A26662">
        <w:t>**</w:t>
      </w:r>
      <w:r w:rsidRPr="00A26662">
        <w:t xml:space="preserve"> и леналидомиду</w:t>
      </w:r>
      <w:r w:rsidR="002B59AA" w:rsidRPr="00A26662">
        <w:t>**</w:t>
      </w:r>
      <w:r w:rsidRPr="00A26662">
        <w:t>, в качестве одн</w:t>
      </w:r>
      <w:r w:rsidR="00B657E4" w:rsidRPr="00BF55DF">
        <w:t>ой из возможных опций</w:t>
      </w:r>
      <w:r w:rsidR="00BA7503" w:rsidRPr="00BF55DF">
        <w:t xml:space="preserve"> </w:t>
      </w:r>
      <w:r w:rsidR="00B657E4" w:rsidRPr="00BF55DF">
        <w:rPr>
          <w:b/>
        </w:rPr>
        <w:t>рекомендуется</w:t>
      </w:r>
      <w:r w:rsidR="00C86568" w:rsidRPr="00BF55DF">
        <w:t xml:space="preserve"> терапия с включением в схему лечения иксазомиба**, леналидомида** и дексаметазона** </w:t>
      </w:r>
      <w:r w:rsidR="00032CFB" w:rsidRPr="00BF55DF">
        <w:t xml:space="preserve">(описание режимов – см. приложение </w:t>
      </w:r>
      <w:r w:rsidR="00C812D6" w:rsidRPr="00BF55DF">
        <w:t>А3.1</w:t>
      </w:r>
      <w:r w:rsidR="00815D8E" w:rsidRPr="00BF55DF">
        <w:t>.</w:t>
      </w:r>
      <w:r w:rsidR="00032CFB" w:rsidRPr="009D3FBB">
        <w:t>)</w:t>
      </w:r>
      <w:r w:rsidR="00D939A2" w:rsidRPr="009D3FBB">
        <w:t xml:space="preserve"> </w:t>
      </w:r>
      <w:r w:rsidR="00A96FB6" w:rsidRPr="009D3FBB">
        <w:rPr>
          <w:i/>
        </w:rPr>
        <w:fldChar w:fldCharType="begin" w:fldLock="1"/>
      </w:r>
      <w:r w:rsidR="00F74B6B">
        <w:rPr>
          <w:i/>
        </w:rPr>
        <w:instrText>ADDIN CSL_CITATION {"citationItems":[{"id":"ITEM-1","itemData":{"DOI":"10.1056/NEJMoa1516282","ISSN":"0028-4793","author":[{"dropping-particle":"","family":"Moreau","given":"Philippe","non-dropping-particle":"","parse-names":false,"suffix":""},{"dropping-particle":"","family":"Masszi","given":"Tamás","non-dropping-particle":"","parse-names":false,"suffix":""},{"dropping-particle":"","family":"Grzasko","given":"Norbert","non-dropping-particle":"","parse-names":false,"suffix":""},{"dropping-particle":"","family":"Bahlis","given":"Nizar J.","non-dropping-particle":"","parse-names":false,"suffix":""},{"dropping-particle":"","family":"Hansson","given":"Markus","non-dropping-particle":"","parse-names":false,"suffix":""},{"dropping-particle":"","family":"Pour","given":"Ludek","non-dropping-particle":"","parse-names":false,"suffix":""},{"dropping-particle":"","family":"Sandhu","given":"Irwindeep","non-dropping-particle":"","parse-names":false,"suffix":""},{"dropping-particle":"","family":"Ganly","given":"Peter","non-dropping-particle":"","parse-names":false,"suffix":""},{"dropping-particle":"","family":"Baker","given":"Bartrum W.","non-dropping-particle":"","parse-names":false,"suffix":""},{"dropping-particle":"","family":"Jackson","given":"Sharon R.","non-dropping-particle":"","parse-names":false,"suffix":""},{"dropping-particle":"","family":"Stoppa","given":"Anne-Marie","non-dropping-particle":"","parse-names":false,"suffix":""},{"dropping-particle":"","family":"Simpson","given":"David R.","non-dropping-particle":"","parse-names":false,"suffix":""},{"dropping-particle":"","family":"Gimsing","given":"Peter","non-dropping-particle":"","parse-names":false,"suffix":""},{"dropping-particle":"","family":"Palumbo","given":"Antonio","non-dropping-particle":"","parse-names":false,"suffix":""},{"dropping-particle":"","family":"Garderet","given":"Laurent","non-dropping-particle":"","parse-names":false,"suffix":""},{"dropping-particle":"","family":"Cavo","given":"Michele","non-dropping-particle":"","parse-names":false,"suffix":""},{"dropping-particle":"","family":"Kumar","given":"Shaji","non-dropping-particle":"","parse-names":false,"suffix":""},{"dropping-particle":"","family":"Touzeau","given":"Cyrille","non-dropping-particle":"","parse-names":false,"suffix":""},{"dropping-particle":"","family":"Buadi","given":"Francis K.","non-dropping-particle":"","parse-names":false,"suffix":""},{"dropping-particle":"","family":"Laubach","given":"Jacob P.","non-dropping-particle":"","parse-names":false,"suffix":""},{"dropping-particle":"","family":"Berg","given":"Deborah T.","non-dropping-particle":"","parse-names":false,"suffix":""},{"dropping-particle":"","family":"Lin","given":"Jianchang","non-dropping-particle":"","parse-names":false,"suffix":""},{"dropping-particle":"","family":"Bacco","given":"Alessandra","non-dropping-particle":"Di","parse-names":false,"suffix":""},{"dropping-particle":"","family":"Hui","given":"Ai-Min","non-dropping-particle":"","parse-names":false,"suffix":""},{"dropping-particle":"","family":"Velde","given":"Helgi","non-dropping-particle":"van de","parse-names":false,"suffix":""},{"dropping-particle":"","family":"Richardson","given":"Paul G.","non-dropping-particle":"","parse-names":false,"suffix":""}],"container-title":"New England Journal of Medicine","id":"ITEM-1","issue":"17","issued":{"date-parts":[["2016","4","28"]]},"page":"1621-1634","title":"Oral Ixazomib, Lenalidomide, and Dexamethasone for Multiple Myeloma","type":"article-journal","volume":"374"},"uris":["http://www.mendeley.com/documents/?uuid=4ccb25a7-fe89-3814-923e-66ad0de36099"]}],"mendeley":{"formattedCitation":"[62]","plainTextFormattedCitation":"[62]","previouslyFormattedCitation":"[62]"},"properties":{"noteIndex":0},"schema":"https://github.com/citation-style-language/schema/raw/master/csl-citation.json"}</w:instrText>
      </w:r>
      <w:r w:rsidR="00A96FB6" w:rsidRPr="009D3FBB">
        <w:rPr>
          <w:i/>
        </w:rPr>
        <w:fldChar w:fldCharType="separate"/>
      </w:r>
      <w:r w:rsidR="00705691" w:rsidRPr="00705691">
        <w:rPr>
          <w:noProof/>
        </w:rPr>
        <w:t>[62]</w:t>
      </w:r>
      <w:r w:rsidR="00A96FB6" w:rsidRPr="009D3FBB">
        <w:rPr>
          <w:i/>
        </w:rPr>
        <w:fldChar w:fldCharType="end"/>
      </w:r>
      <w:r w:rsidR="00032CFB" w:rsidRPr="009D3FBB">
        <w:t>.</w:t>
      </w:r>
    </w:p>
    <w:p w:rsidR="00C86568" w:rsidRPr="00E34F40" w:rsidRDefault="00C86568" w:rsidP="00131E36">
      <w:pPr>
        <w:pStyle w:val="a5"/>
        <w:spacing w:before="0" w:after="0"/>
        <w:ind w:left="709"/>
        <w:rPr>
          <w:b/>
        </w:rPr>
      </w:pPr>
      <w:r w:rsidRPr="00912FAC">
        <w:rPr>
          <w:b/>
        </w:rPr>
        <w:lastRenderedPageBreak/>
        <w:t xml:space="preserve">Уровень убедительности рекомендаций </w:t>
      </w:r>
      <w:r w:rsidR="00815D8E">
        <w:rPr>
          <w:b/>
        </w:rPr>
        <w:t xml:space="preserve">− </w:t>
      </w:r>
      <w:r w:rsidR="00F2291F">
        <w:rPr>
          <w:b/>
          <w:lang w:val="en-US"/>
        </w:rPr>
        <w:t>B</w:t>
      </w:r>
      <w:r w:rsidR="00F2291F" w:rsidRPr="00286688">
        <w:rPr>
          <w:b/>
        </w:rPr>
        <w:t xml:space="preserve"> </w:t>
      </w:r>
      <w:r w:rsidRPr="00912FAC">
        <w:rPr>
          <w:b/>
        </w:rPr>
        <w:t>(уровень достоверности доказательств</w:t>
      </w:r>
      <w:r w:rsidR="00286688" w:rsidRPr="00286688">
        <w:rPr>
          <w:b/>
        </w:rPr>
        <w:t xml:space="preserve"> </w:t>
      </w:r>
      <w:r w:rsidR="00815D8E">
        <w:rPr>
          <w:b/>
        </w:rPr>
        <w:t xml:space="preserve">− </w:t>
      </w:r>
      <w:r w:rsidR="009D3FBB">
        <w:rPr>
          <w:b/>
        </w:rPr>
        <w:t>2</w:t>
      </w:r>
      <w:r w:rsidR="006E390F">
        <w:rPr>
          <w:b/>
        </w:rPr>
        <w:t>)</w:t>
      </w:r>
    </w:p>
    <w:p w:rsidR="00C86568" w:rsidRPr="00C86568" w:rsidRDefault="00C86568" w:rsidP="00131E36">
      <w:pPr>
        <w:pStyle w:val="a5"/>
        <w:spacing w:before="0" w:after="0"/>
        <w:ind w:left="709"/>
        <w:rPr>
          <w:i/>
        </w:rPr>
      </w:pPr>
      <w:r w:rsidRPr="00912FAC">
        <w:rPr>
          <w:b/>
        </w:rPr>
        <w:t xml:space="preserve">Комментарий: </w:t>
      </w:r>
      <w:r w:rsidR="00815D8E">
        <w:rPr>
          <w:i/>
        </w:rPr>
        <w:t>р</w:t>
      </w:r>
      <w:r w:rsidRPr="00C86568">
        <w:rPr>
          <w:i/>
        </w:rPr>
        <w:t>езультаты крупного рандомизированного исследования TOURMALINE-MM1 выявили, что добавление иксазомиба</w:t>
      </w:r>
      <w:r w:rsidR="0085596B">
        <w:rPr>
          <w:i/>
        </w:rPr>
        <w:t>**</w:t>
      </w:r>
      <w:r w:rsidRPr="00C86568">
        <w:rPr>
          <w:i/>
        </w:rPr>
        <w:t xml:space="preserve"> к комбинации леналидомида</w:t>
      </w:r>
      <w:r w:rsidR="0085596B">
        <w:rPr>
          <w:i/>
        </w:rPr>
        <w:t>**</w:t>
      </w:r>
      <w:r w:rsidRPr="00C86568">
        <w:rPr>
          <w:i/>
        </w:rPr>
        <w:t xml:space="preserve"> с дексаметазоном</w:t>
      </w:r>
      <w:r w:rsidR="0085596B">
        <w:rPr>
          <w:i/>
        </w:rPr>
        <w:t>**</w:t>
      </w:r>
      <w:r w:rsidRPr="00C86568">
        <w:rPr>
          <w:i/>
        </w:rPr>
        <w:t xml:space="preserve"> увеличивает ВБП у </w:t>
      </w:r>
      <w:r w:rsidR="00FB03BB" w:rsidRPr="00FB03BB">
        <w:rPr>
          <w:i/>
        </w:rPr>
        <w:t>пациентов</w:t>
      </w:r>
      <w:r w:rsidRPr="00C86568">
        <w:rPr>
          <w:i/>
        </w:rPr>
        <w:t xml:space="preserve"> с рецидивами и рефрактерной ММ по сравнению с контрольной группой.  Медианы ВБП составили 20,6 и 14,7 мес</w:t>
      </w:r>
      <w:r w:rsidR="00E778E9">
        <w:rPr>
          <w:i/>
        </w:rPr>
        <w:t>.</w:t>
      </w:r>
      <w:r w:rsidRPr="00C86568">
        <w:rPr>
          <w:i/>
        </w:rPr>
        <w:t xml:space="preserve"> соответственно. Общая эффективность лечения была выше в группе иксазомиба</w:t>
      </w:r>
      <w:r w:rsidR="0085596B">
        <w:rPr>
          <w:i/>
        </w:rPr>
        <w:t>**</w:t>
      </w:r>
      <w:r w:rsidRPr="00C86568">
        <w:rPr>
          <w:i/>
        </w:rPr>
        <w:t xml:space="preserve"> (78</w:t>
      </w:r>
      <w:r w:rsidR="00815D8E">
        <w:rPr>
          <w:i/>
        </w:rPr>
        <w:t> </w:t>
      </w:r>
      <w:r w:rsidRPr="00C86568">
        <w:rPr>
          <w:i/>
        </w:rPr>
        <w:t>%), чем в группе плацебо (72</w:t>
      </w:r>
      <w:r w:rsidR="00815D8E">
        <w:rPr>
          <w:i/>
        </w:rPr>
        <w:t> </w:t>
      </w:r>
      <w:r w:rsidRPr="00C86568">
        <w:rPr>
          <w:i/>
        </w:rPr>
        <w:t xml:space="preserve">%). </w:t>
      </w:r>
      <w:r w:rsidR="00815D8E">
        <w:rPr>
          <w:i/>
        </w:rPr>
        <w:t>ПР</w:t>
      </w:r>
      <w:r w:rsidRPr="00C86568">
        <w:rPr>
          <w:i/>
        </w:rPr>
        <w:t xml:space="preserve"> в группе иксазомиба</w:t>
      </w:r>
      <w:r w:rsidR="0085596B">
        <w:rPr>
          <w:i/>
        </w:rPr>
        <w:t>**</w:t>
      </w:r>
      <w:r w:rsidRPr="00C86568">
        <w:rPr>
          <w:i/>
        </w:rPr>
        <w:t xml:space="preserve"> достигли 12</w:t>
      </w:r>
      <w:r w:rsidR="00815D8E">
        <w:rPr>
          <w:i/>
        </w:rPr>
        <w:t> </w:t>
      </w:r>
      <w:r w:rsidRPr="00C86568">
        <w:rPr>
          <w:i/>
        </w:rPr>
        <w:t xml:space="preserve">% </w:t>
      </w:r>
      <w:r w:rsidR="00FB03BB" w:rsidRPr="00FB03BB">
        <w:rPr>
          <w:i/>
        </w:rPr>
        <w:t>пациентов</w:t>
      </w:r>
      <w:r w:rsidRPr="00C86568">
        <w:rPr>
          <w:i/>
        </w:rPr>
        <w:t xml:space="preserve">, в группе плацебо </w:t>
      </w:r>
      <w:r w:rsidR="00815D8E">
        <w:rPr>
          <w:i/>
        </w:rPr>
        <w:t>–</w:t>
      </w:r>
      <w:r w:rsidRPr="00C86568">
        <w:rPr>
          <w:i/>
        </w:rPr>
        <w:t xml:space="preserve"> 7</w:t>
      </w:r>
      <w:r w:rsidR="00815D8E">
        <w:rPr>
          <w:i/>
        </w:rPr>
        <w:t> </w:t>
      </w:r>
      <w:r w:rsidRPr="00C86568">
        <w:rPr>
          <w:i/>
        </w:rPr>
        <w:t>%. Переносимость комбинации иксазомиба</w:t>
      </w:r>
      <w:r w:rsidR="0085596B">
        <w:rPr>
          <w:i/>
        </w:rPr>
        <w:t>**</w:t>
      </w:r>
      <w:r w:rsidRPr="00C86568">
        <w:rPr>
          <w:i/>
        </w:rPr>
        <w:t xml:space="preserve"> с леналидомидом</w:t>
      </w:r>
      <w:r w:rsidR="0085596B">
        <w:rPr>
          <w:i/>
        </w:rPr>
        <w:t>**</w:t>
      </w:r>
      <w:r w:rsidRPr="00C86568">
        <w:rPr>
          <w:i/>
        </w:rPr>
        <w:t xml:space="preserve"> и дексаметазоном</w:t>
      </w:r>
      <w:r w:rsidR="0085596B">
        <w:rPr>
          <w:i/>
        </w:rPr>
        <w:t>**</w:t>
      </w:r>
      <w:r w:rsidRPr="00C86568">
        <w:rPr>
          <w:i/>
        </w:rPr>
        <w:t xml:space="preserve"> была удовлетворительной. Частота серьезных нежелательных явлений в обеих группах была схожей. Тромбоцитопения 3 и 4</w:t>
      </w:r>
      <w:r w:rsidR="00AE4430">
        <w:rPr>
          <w:i/>
        </w:rPr>
        <w:t>-й</w:t>
      </w:r>
      <w:r w:rsidRPr="00C86568">
        <w:rPr>
          <w:i/>
        </w:rPr>
        <w:t xml:space="preserve"> степени чаще встречалась в группе иксазомиба</w:t>
      </w:r>
      <w:r w:rsidR="0085596B">
        <w:rPr>
          <w:i/>
        </w:rPr>
        <w:t>**</w:t>
      </w:r>
      <w:r w:rsidRPr="00C86568">
        <w:rPr>
          <w:i/>
        </w:rPr>
        <w:t xml:space="preserve"> (19</w:t>
      </w:r>
      <w:r w:rsidR="00AE4430">
        <w:rPr>
          <w:i/>
        </w:rPr>
        <w:t> </w:t>
      </w:r>
      <w:r w:rsidRPr="00C86568">
        <w:rPr>
          <w:i/>
        </w:rPr>
        <w:t>%), чем в группе плацебо (9</w:t>
      </w:r>
      <w:r w:rsidR="00AE4430">
        <w:rPr>
          <w:i/>
        </w:rPr>
        <w:t> </w:t>
      </w:r>
      <w:r w:rsidRPr="00C86568">
        <w:rPr>
          <w:i/>
        </w:rPr>
        <w:t>%). Частота развития периферической нейропатии составила 27</w:t>
      </w:r>
      <w:r w:rsidR="00AE4430">
        <w:rPr>
          <w:i/>
        </w:rPr>
        <w:t> </w:t>
      </w:r>
      <w:r w:rsidRPr="00C86568">
        <w:rPr>
          <w:i/>
        </w:rPr>
        <w:t>% в группе иксазомиба</w:t>
      </w:r>
      <w:r w:rsidR="0085596B">
        <w:rPr>
          <w:i/>
        </w:rPr>
        <w:t>**</w:t>
      </w:r>
      <w:r w:rsidRPr="00C86568">
        <w:rPr>
          <w:i/>
        </w:rPr>
        <w:t xml:space="preserve"> и 22</w:t>
      </w:r>
      <w:r w:rsidR="00AE4430">
        <w:rPr>
          <w:i/>
        </w:rPr>
        <w:t> </w:t>
      </w:r>
      <w:r w:rsidRPr="00C86568">
        <w:rPr>
          <w:i/>
        </w:rPr>
        <w:t>% в группе плацебо (нейропатия 3</w:t>
      </w:r>
      <w:r w:rsidR="00AE4430">
        <w:rPr>
          <w:i/>
        </w:rPr>
        <w:t>-й</w:t>
      </w:r>
      <w:r w:rsidRPr="00C86568">
        <w:rPr>
          <w:i/>
        </w:rPr>
        <w:t xml:space="preserve"> степени наблюдалась у 2</w:t>
      </w:r>
      <w:r w:rsidR="00AE4430">
        <w:rPr>
          <w:i/>
        </w:rPr>
        <w:t> </w:t>
      </w:r>
      <w:r w:rsidRPr="00C86568">
        <w:rPr>
          <w:i/>
        </w:rPr>
        <w:t xml:space="preserve">% </w:t>
      </w:r>
      <w:r w:rsidR="00FB03BB" w:rsidRPr="00FB03BB">
        <w:rPr>
          <w:i/>
        </w:rPr>
        <w:t>пациентов</w:t>
      </w:r>
      <w:r w:rsidRPr="00C86568">
        <w:rPr>
          <w:i/>
        </w:rPr>
        <w:t xml:space="preserve"> в каждой группе). </w:t>
      </w:r>
    </w:p>
    <w:p w:rsidR="00C86568" w:rsidRDefault="00C86568" w:rsidP="00131E36">
      <w:pPr>
        <w:pStyle w:val="a5"/>
        <w:spacing w:before="0" w:after="0"/>
        <w:ind w:left="709"/>
        <w:rPr>
          <w:i/>
        </w:rPr>
      </w:pPr>
      <w:r w:rsidRPr="00C86568">
        <w:rPr>
          <w:i/>
        </w:rPr>
        <w:t>По фармакокинетике и фармакодинамике</w:t>
      </w:r>
      <w:r w:rsidR="00D939A2" w:rsidRPr="00D939A2">
        <w:rPr>
          <w:i/>
        </w:rPr>
        <w:t xml:space="preserve"> </w:t>
      </w:r>
      <w:r w:rsidRPr="00C86568">
        <w:rPr>
          <w:i/>
        </w:rPr>
        <w:t>иксазомиб</w:t>
      </w:r>
      <w:r w:rsidR="0085596B">
        <w:rPr>
          <w:i/>
        </w:rPr>
        <w:t>**</w:t>
      </w:r>
      <w:r w:rsidRPr="00C86568">
        <w:rPr>
          <w:i/>
        </w:rPr>
        <w:t xml:space="preserve"> отличается от бортезомиба</w:t>
      </w:r>
      <w:r w:rsidR="0085596B">
        <w:rPr>
          <w:i/>
        </w:rPr>
        <w:t>**</w:t>
      </w:r>
      <w:r w:rsidRPr="00C86568">
        <w:rPr>
          <w:i/>
        </w:rPr>
        <w:t xml:space="preserve"> лучшим проникновением в ткани и более высокой биологической активностью. Фармакокинетика иксазомиба</w:t>
      </w:r>
      <w:r w:rsidR="00AD2477">
        <w:rPr>
          <w:i/>
        </w:rPr>
        <w:t>**</w:t>
      </w:r>
      <w:r w:rsidRPr="00C86568">
        <w:rPr>
          <w:i/>
        </w:rPr>
        <w:t xml:space="preserve"> была сходной у пациентов с нормальной функцией почек и при нарушении функции почек легкой или умеренной степени (клиренс креатинина ≥30 мл/мин).  Фармакокинетика также была сходной у пациентов с нормальной функцией печени и при нарушении функции печени легкой степени. При умеренном и тяжелом нарушении функции печени требуется снижение начальной дозы с 4 до 3 мг.</w:t>
      </w:r>
    </w:p>
    <w:p w:rsidR="00B472C9" w:rsidRDefault="00B228C7" w:rsidP="002F2D5C">
      <w:pPr>
        <w:pStyle w:val="a5"/>
        <w:numPr>
          <w:ilvl w:val="0"/>
          <w:numId w:val="9"/>
        </w:numPr>
        <w:tabs>
          <w:tab w:val="clear" w:pos="348"/>
          <w:tab w:val="num" w:pos="709"/>
        </w:tabs>
        <w:spacing w:before="0" w:after="0"/>
        <w:ind w:left="709" w:hanging="709"/>
      </w:pPr>
      <w:r>
        <w:t>Пациентам с</w:t>
      </w:r>
      <w:r w:rsidR="00DB0580">
        <w:t xml:space="preserve"> рецидивом ММ</w:t>
      </w:r>
      <w:r>
        <w:t xml:space="preserve">, которым показана противомиеломная терапия </w:t>
      </w:r>
      <w:r w:rsidRPr="00E34F40">
        <w:t>и у которы</w:t>
      </w:r>
      <w:r w:rsidR="005A7F3F" w:rsidRPr="00E34F40">
        <w:t>х не развилась рефрактерность к</w:t>
      </w:r>
      <w:r w:rsidR="00AE4430">
        <w:t xml:space="preserve"> </w:t>
      </w:r>
      <w:r w:rsidRPr="00E34F40">
        <w:t>леналидомиду</w:t>
      </w:r>
      <w:r w:rsidR="00AD2477">
        <w:t>**</w:t>
      </w:r>
      <w:r w:rsidRPr="00E34F40">
        <w:t>, в качестве одной из в</w:t>
      </w:r>
      <w:r w:rsidR="00B657E4">
        <w:t>озможных опций</w:t>
      </w:r>
      <w:r w:rsidR="009D3B20">
        <w:t xml:space="preserve"> </w:t>
      </w:r>
      <w:r w:rsidR="00B657E4">
        <w:rPr>
          <w:b/>
        </w:rPr>
        <w:t>рекомендуется</w:t>
      </w:r>
      <w:r w:rsidR="00B472C9">
        <w:t xml:space="preserve"> терапия с включением в схему лечения даратумумаба**, леналидомида** и дексаметазона** </w:t>
      </w:r>
      <w:r w:rsidR="00032CFB">
        <w:t xml:space="preserve">(описание режимов – см. приложение </w:t>
      </w:r>
      <w:r w:rsidR="00C812D6">
        <w:t>А3.1</w:t>
      </w:r>
      <w:r w:rsidR="00AE4430">
        <w:t>.</w:t>
      </w:r>
      <w:r w:rsidR="00032CFB">
        <w:t>)</w:t>
      </w:r>
      <w:r w:rsidR="00286688" w:rsidRPr="00286688">
        <w:t xml:space="preserve"> </w:t>
      </w:r>
      <w:r w:rsidR="00A96FB6">
        <w:rPr>
          <w:i/>
        </w:rPr>
        <w:fldChar w:fldCharType="begin" w:fldLock="1"/>
      </w:r>
      <w:r w:rsidR="00F74B6B">
        <w:rPr>
          <w:i/>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myeloma","type":"article","volume":"35"},"uris":["http://www.mendeley.com/documents/?uuid=4b51abe8-b4d6-30ad-bad9-00468e013c00"]},{"id":"ITEM-2","itemData":{"DOI":"10.1016/j.clml.2017.12.011","ISSN":"21522669","abstract":"A systematic review and network meta-analysis were conducted to compare the clinical efficacy of immunomodulatory drug-containing regimens in patients with relapsed or refractory multiple myeloma. Daratumumab plus lenalidomide and dexamethasone had a significant advantage in improving progression-free survival of patients compared with other immunomodulatory drug-containing regimens. Background: Previous network meta-analyses combined studies of immunomodulatory drug (IMiD)–containing and IMiD-free regimens, despite a lack of head-to-head randomized controlled trials to robustly link them. However, patients with relapsed or refractory multiple myeloma (RRMM) treated with IMiD-containing regimens differ from those treated with IMiD-free regimens, especially relating to treatment history, which is an important treatment-effect modifier requiring clinical consideration when evaluating the most appropriate subsequent treatment options. A need exists to separately assess the efficacy of treatment regimens for patients who are suitable candidates for IMiD-containing and IMiD-free regimens. The presented analyses will enable clinicians to assess the best regimens to use in patients suitable for IMiD-containing regimens. Materials and Methods: We used a Bayesian network meta-analysis to compare IMiD-containing regimens in patients with RRMM. Additionally, subgroup analyses were conducted stratified by previous therapy line, previous bortezomib therapy, and previous lenalidomide therapy. Results: The results indicated that triplet combinations are more effective than doublet combinations. Of the triplet combinations, daratumumab, lenalidomide, dexamethasone (DRd) was significantly better in improving progression-free survival in patients with RRMM than were other IMiD-containing regimens (lenalidomide, dexamethasone [Rd]: hazard ratio [HR], 0.37; carfilzomib, Rd: HR, 0.54; elotuzumab, Rd: HR, 0.54; ixazomib, Rd: HR, 0.50). Similar trends were observed for overall survival and overall response. DRd showed the greatest probability of being the best treatment for all clinical efficacy outcomes. The subgroup analyses results were consistent with the base-case results. Conclusion: In patients with RRMM who are suitable for an IMiD-containing regimen, DRd showed clear advantages in survival and response outcomes compared with other IMiD-containing regimens.","author":[{"dropping-particle":"","family":"Dimopoulos","given":"Meletios Athanasios","non-dropping-particle":"","parse-names":false,"suffix":""},{"dropping-particle":"","family":"Kaufman","given":"Jonathan L.","non-dropping-particle":"","parse-names":false,"suffix":""},{"dropping-particle":"","family":"White","given":"Darrell","non-dropping-particle":"","parse-names":false,"suffix":""},{"dropping-particle":"","family":"Cook","given":"Gordon","non-dropping-particle":"","parse-names":false,"suffix":""},{"dropping-particle":"","family":"Rizzo","given":"Maria","non-dropping-particle":"","parse-names":false,"suffix":""},{"dropping-particle":"","family":"Xu","given":"Yingxin","non-dropping-particle":"","parse-names":false,"suffix":""},{"dropping-particle":"","family":"Fahrbach","given":"Kyle","non-dropping-particle":"","parse-names":false,"suffix":""},{"dropping-particle":"","family":"Gaudig","given":"Maren","non-dropping-particle":"","parse-names":false,"suffix":""},{"dropping-particle":"","family":"Slavcev","given":"Mary","non-dropping-particle":"","parse-names":false,"suffix":""},{"dropping-particle":"","family":"Dearden","given":"Lindsay","non-dropping-particle":"","parse-names":false,"suffix":""},{"dropping-particle":"","family":"Lam","given":"Annette","non-dropping-particle":"","parse-names":false,"suffix":""}],"container-title":"Clinical Lymphoma, Myeloma and Leukemia","id":"ITEM-2","issue":"3","issued":{"date-parts":[["2018","3","1"]]},"page":"163-173.e6","publisher":"Elsevier Inc.","title":"A Comparison of the Efficacy of Immunomodulatory-containing Regimens in Relapsed/Refractory Multiple Myeloma: A Network Meta-analysis","type":"article-journal","volume":"18"},"uris":["http://www.mendeley.com/documents/?uuid=4543af21-4b82-3645-8d1e-52cee5a8b951"]}],"mendeley":{"formattedCitation":"[56,59]","plainTextFormattedCitation":"[56,59]","previouslyFormattedCitation":"[56,59]"},"properties":{"noteIndex":0},"schema":"https://github.com/citation-style-language/schema/raw/master/csl-citation.json"}</w:instrText>
      </w:r>
      <w:r w:rsidR="00A96FB6">
        <w:rPr>
          <w:i/>
        </w:rPr>
        <w:fldChar w:fldCharType="separate"/>
      </w:r>
      <w:r w:rsidR="00705691" w:rsidRPr="00705691">
        <w:rPr>
          <w:noProof/>
        </w:rPr>
        <w:t>[56,59]</w:t>
      </w:r>
      <w:r w:rsidR="00A96FB6">
        <w:rPr>
          <w:i/>
        </w:rPr>
        <w:fldChar w:fldCharType="end"/>
      </w:r>
      <w:r w:rsidR="00DB0580">
        <w:t>.</w:t>
      </w:r>
    </w:p>
    <w:p w:rsidR="00B472C9" w:rsidRPr="00E34F40" w:rsidRDefault="00B472C9" w:rsidP="00131E36">
      <w:pPr>
        <w:pStyle w:val="a5"/>
        <w:spacing w:before="0" w:after="0"/>
        <w:ind w:left="709"/>
        <w:rPr>
          <w:b/>
        </w:rPr>
      </w:pPr>
      <w:r w:rsidRPr="00912FAC">
        <w:rPr>
          <w:b/>
        </w:rPr>
        <w:t xml:space="preserve">Уровень убедительности рекомендаций </w:t>
      </w:r>
      <w:r w:rsidR="00AE4430">
        <w:rPr>
          <w:b/>
        </w:rPr>
        <w:t xml:space="preserve">− </w:t>
      </w:r>
      <w:r w:rsidR="00BD6788">
        <w:rPr>
          <w:b/>
          <w:lang w:val="en-US"/>
        </w:rPr>
        <w:t>A</w:t>
      </w:r>
      <w:r w:rsidR="000A156C">
        <w:rPr>
          <w:b/>
        </w:rPr>
        <w:t xml:space="preserve"> </w:t>
      </w:r>
      <w:r w:rsidRPr="00912FAC">
        <w:rPr>
          <w:b/>
        </w:rPr>
        <w:t>(уровень достоверности доказательств</w:t>
      </w:r>
      <w:r w:rsidR="000A156C">
        <w:rPr>
          <w:b/>
        </w:rPr>
        <w:t xml:space="preserve"> </w:t>
      </w:r>
      <w:r w:rsidR="00AE4430">
        <w:rPr>
          <w:b/>
        </w:rPr>
        <w:t xml:space="preserve">− </w:t>
      </w:r>
      <w:r w:rsidR="006E390F">
        <w:rPr>
          <w:b/>
        </w:rPr>
        <w:t>1)</w:t>
      </w:r>
    </w:p>
    <w:p w:rsidR="00CF7A54" w:rsidRPr="00CF7A54" w:rsidRDefault="00B472C9" w:rsidP="00131E36">
      <w:pPr>
        <w:pStyle w:val="a5"/>
        <w:spacing w:before="0" w:after="0"/>
        <w:ind w:left="709"/>
        <w:rPr>
          <w:i/>
        </w:rPr>
      </w:pPr>
      <w:r w:rsidRPr="00912FAC">
        <w:rPr>
          <w:b/>
        </w:rPr>
        <w:t xml:space="preserve">Комментарий: </w:t>
      </w:r>
      <w:r w:rsidR="00286688" w:rsidRPr="00CF7A54">
        <w:rPr>
          <w:i/>
        </w:rPr>
        <w:t xml:space="preserve">эффективность </w:t>
      </w:r>
      <w:r w:rsidR="00CF7A54" w:rsidRPr="00CF7A54">
        <w:rPr>
          <w:i/>
        </w:rPr>
        <w:t>комбинации анти-CD38 моноклонального антитела даратумумаба</w:t>
      </w:r>
      <w:r w:rsidR="00B657E4">
        <w:rPr>
          <w:i/>
        </w:rPr>
        <w:t>**</w:t>
      </w:r>
      <w:r w:rsidR="00CF7A54" w:rsidRPr="00CF7A54">
        <w:rPr>
          <w:i/>
        </w:rPr>
        <w:t xml:space="preserve"> с леналидомидом</w:t>
      </w:r>
      <w:r w:rsidR="00B657E4">
        <w:rPr>
          <w:i/>
        </w:rPr>
        <w:t>**</w:t>
      </w:r>
      <w:r w:rsidR="00CF7A54" w:rsidRPr="00CF7A54">
        <w:rPr>
          <w:i/>
        </w:rPr>
        <w:t xml:space="preserve"> и дексаметазоном</w:t>
      </w:r>
      <w:r w:rsidR="00B657E4">
        <w:rPr>
          <w:i/>
        </w:rPr>
        <w:t>**</w:t>
      </w:r>
      <w:r w:rsidR="00CF7A54" w:rsidRPr="00CF7A54">
        <w:rPr>
          <w:i/>
        </w:rPr>
        <w:t xml:space="preserve"> у пациентов с рецидивирующей ММ, получивших по крайней мере одну предшествующую линию </w:t>
      </w:r>
      <w:r w:rsidR="00CF7A54" w:rsidRPr="00CF7A54">
        <w:rPr>
          <w:i/>
        </w:rPr>
        <w:lastRenderedPageBreak/>
        <w:t>терапии, была продемонстрирована в крупном рандомизированном иследовании III</w:t>
      </w:r>
      <w:r w:rsidR="003B2F2C">
        <w:rPr>
          <w:i/>
        </w:rPr>
        <w:t> </w:t>
      </w:r>
      <w:r w:rsidR="00CF7A54" w:rsidRPr="00CF7A54">
        <w:rPr>
          <w:i/>
        </w:rPr>
        <w:t>фазы POLLUX. В исследуемой группе (DRd) достоверно чаще достигались ответы на терапию (93</w:t>
      </w:r>
      <w:r w:rsidR="003B2F2C">
        <w:rPr>
          <w:i/>
        </w:rPr>
        <w:t> </w:t>
      </w:r>
      <w:r w:rsidR="00CF7A54" w:rsidRPr="00CF7A54">
        <w:rPr>
          <w:i/>
        </w:rPr>
        <w:t>%), чем в контрольной группе (Rd) (76</w:t>
      </w:r>
      <w:r w:rsidR="003B2F2C">
        <w:rPr>
          <w:i/>
        </w:rPr>
        <w:t> </w:t>
      </w:r>
      <w:r w:rsidR="00CF7A54" w:rsidRPr="00CF7A54">
        <w:rPr>
          <w:i/>
        </w:rPr>
        <w:t>%), более чем в 2 раза чаще достигались как минимум ПР (57</w:t>
      </w:r>
      <w:r w:rsidR="003B2F2C">
        <w:rPr>
          <w:i/>
        </w:rPr>
        <w:t> </w:t>
      </w:r>
      <w:r w:rsidR="00CF7A54" w:rsidRPr="00CF7A54">
        <w:rPr>
          <w:i/>
        </w:rPr>
        <w:t>% против 23</w:t>
      </w:r>
      <w:r w:rsidR="003B2F2C">
        <w:rPr>
          <w:i/>
        </w:rPr>
        <w:t> </w:t>
      </w:r>
      <w:r w:rsidR="00CF7A54" w:rsidRPr="00CF7A54">
        <w:rPr>
          <w:i/>
        </w:rPr>
        <w:t>%) и в 6 раз больше пациентов достигали МОБ-негативности при пороге чувствительности 10</w:t>
      </w:r>
      <w:r w:rsidR="003B2F2C">
        <w:rPr>
          <w:i/>
        </w:rPr>
        <w:t>−</w:t>
      </w:r>
      <w:r w:rsidR="00CF7A54" w:rsidRPr="00CF7A54">
        <w:rPr>
          <w:i/>
        </w:rPr>
        <w:t>5 (30</w:t>
      </w:r>
      <w:r w:rsidR="003B2F2C">
        <w:rPr>
          <w:i/>
        </w:rPr>
        <w:t> </w:t>
      </w:r>
      <w:r w:rsidR="00CF7A54" w:rsidRPr="00CF7A54">
        <w:rPr>
          <w:i/>
        </w:rPr>
        <w:t>% против 5</w:t>
      </w:r>
      <w:r w:rsidR="003B2F2C">
        <w:rPr>
          <w:i/>
        </w:rPr>
        <w:t> </w:t>
      </w:r>
      <w:r w:rsidR="00CF7A54" w:rsidRPr="00CF7A54">
        <w:rPr>
          <w:i/>
        </w:rPr>
        <w:t>%). Медиана ВБП составила 44,5 мес</w:t>
      </w:r>
      <w:r w:rsidR="00E778E9">
        <w:rPr>
          <w:i/>
        </w:rPr>
        <w:t>.</w:t>
      </w:r>
      <w:r w:rsidR="00CF7A54" w:rsidRPr="00CF7A54">
        <w:rPr>
          <w:i/>
        </w:rPr>
        <w:t xml:space="preserve"> в группе DRd и 17,5 мес</w:t>
      </w:r>
      <w:r w:rsidR="00E778E9">
        <w:rPr>
          <w:i/>
        </w:rPr>
        <w:t>.</w:t>
      </w:r>
      <w:r w:rsidR="00CF7A54" w:rsidRPr="00CF7A54">
        <w:rPr>
          <w:i/>
        </w:rPr>
        <w:t xml:space="preserve"> в группе Rd.</w:t>
      </w:r>
    </w:p>
    <w:p w:rsidR="007D5C85" w:rsidRDefault="00CF7A54" w:rsidP="00131E36">
      <w:pPr>
        <w:pStyle w:val="a5"/>
        <w:spacing w:before="0" w:after="0"/>
        <w:ind w:left="709"/>
        <w:rPr>
          <w:i/>
        </w:rPr>
      </w:pPr>
      <w:r w:rsidRPr="00CF7A54">
        <w:rPr>
          <w:i/>
        </w:rPr>
        <w:t>Добавление даратумумаба</w:t>
      </w:r>
      <w:r w:rsidR="00B657E4">
        <w:rPr>
          <w:i/>
        </w:rPr>
        <w:t>**</w:t>
      </w:r>
      <w:r w:rsidRPr="00CF7A54">
        <w:rPr>
          <w:i/>
        </w:rPr>
        <w:t xml:space="preserve"> к режиму Rd не приводило к повышению токсичности: частота отмены терапии была сопоставима в об</w:t>
      </w:r>
      <w:r w:rsidR="003B2F2C">
        <w:rPr>
          <w:i/>
        </w:rPr>
        <w:t>е</w:t>
      </w:r>
      <w:r w:rsidRPr="00CF7A54">
        <w:rPr>
          <w:i/>
        </w:rPr>
        <w:t xml:space="preserve">их группах (15% в </w:t>
      </w:r>
      <w:r w:rsidR="003B2F2C">
        <w:rPr>
          <w:i/>
        </w:rPr>
        <w:t>каждой из</w:t>
      </w:r>
      <w:r w:rsidRPr="00CF7A54">
        <w:rPr>
          <w:i/>
        </w:rPr>
        <w:t xml:space="preserve"> групп). Профиль безопасности комбинации DRd соответствовал описанному в предшествовавших исследованиях даратумумаба</w:t>
      </w:r>
      <w:r w:rsidR="00B657E4">
        <w:rPr>
          <w:i/>
        </w:rPr>
        <w:t>**</w:t>
      </w:r>
      <w:r w:rsidRPr="00CF7A54">
        <w:rPr>
          <w:i/>
        </w:rPr>
        <w:t xml:space="preserve"> и леналидомида</w:t>
      </w:r>
      <w:r w:rsidR="00B657E4">
        <w:rPr>
          <w:i/>
        </w:rPr>
        <w:t>**</w:t>
      </w:r>
      <w:r w:rsidRPr="00CF7A54">
        <w:rPr>
          <w:i/>
        </w:rPr>
        <w:t xml:space="preserve"> с низкими дозами дексаметазона</w:t>
      </w:r>
      <w:r w:rsidR="00B657E4">
        <w:rPr>
          <w:i/>
        </w:rPr>
        <w:t>**</w:t>
      </w:r>
      <w:r w:rsidRPr="00CF7A54">
        <w:rPr>
          <w:i/>
        </w:rPr>
        <w:t>.</w:t>
      </w:r>
    </w:p>
    <w:p w:rsidR="007D5C85" w:rsidRPr="00BA7503" w:rsidRDefault="00B228C7" w:rsidP="002F2D5C">
      <w:pPr>
        <w:pStyle w:val="a5"/>
        <w:numPr>
          <w:ilvl w:val="0"/>
          <w:numId w:val="9"/>
        </w:numPr>
        <w:tabs>
          <w:tab w:val="clear" w:pos="348"/>
          <w:tab w:val="num" w:pos="709"/>
        </w:tabs>
        <w:spacing w:before="0" w:after="0"/>
        <w:ind w:left="709" w:hanging="709"/>
      </w:pPr>
      <w:r w:rsidRPr="00BA7503">
        <w:t>Пациентам с</w:t>
      </w:r>
      <w:r w:rsidR="00DB0580" w:rsidRPr="00BA7503">
        <w:t xml:space="preserve"> рецидивом ММ</w:t>
      </w:r>
      <w:r w:rsidRPr="00BA7503">
        <w:t>, которым показана противомиеломная терапия и у которых не развилась рефрактерно</w:t>
      </w:r>
      <w:r w:rsidR="005A7F3F" w:rsidRPr="00BA7503">
        <w:t>сть к бортезомибу</w:t>
      </w:r>
      <w:r w:rsidR="0085596B" w:rsidRPr="00BA7503">
        <w:t>**</w:t>
      </w:r>
      <w:r w:rsidRPr="00BA7503">
        <w:t>, в качестве одной из возможных опций</w:t>
      </w:r>
      <w:r w:rsidR="00BA7503">
        <w:t xml:space="preserve"> </w:t>
      </w:r>
      <w:r w:rsidR="00B657E4" w:rsidRPr="00BA7503">
        <w:rPr>
          <w:b/>
        </w:rPr>
        <w:t>рекомендуется</w:t>
      </w:r>
      <w:r w:rsidR="007D5C85" w:rsidRPr="00BA7503">
        <w:t xml:space="preserve"> терапия с включением в схему лечения даратумумаба**, бортезомиба** и дексаметазона** </w:t>
      </w:r>
      <w:r w:rsidR="00032CFB" w:rsidRPr="00BA7503">
        <w:t xml:space="preserve">(описание режимов – см. приложение </w:t>
      </w:r>
      <w:r w:rsidR="00C812D6" w:rsidRPr="00BA7503">
        <w:t>А3.1</w:t>
      </w:r>
      <w:r w:rsidR="00EA60BC">
        <w:t>.</w:t>
      </w:r>
      <w:r w:rsidR="00032CFB" w:rsidRPr="00BA7503">
        <w:t>)</w:t>
      </w:r>
      <w:r w:rsidR="00286688" w:rsidRPr="00286688">
        <w:t xml:space="preserve"> </w:t>
      </w:r>
      <w:r w:rsidR="00A96FB6">
        <w:rPr>
          <w:i/>
        </w:rPr>
        <w:fldChar w:fldCharType="begin" w:fldLock="1"/>
      </w:r>
      <w:r w:rsidR="00F74B6B">
        <w:rPr>
          <w:i/>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mendeley":{"formattedCitation":"[56]","plainTextFormattedCitation":"[56]","previouslyFormattedCitation":"[56]"},"properties":{"noteIndex":0},"schema":"https://github.com/citation-style-language/schema/raw/master/csl-citation.json"}</w:instrText>
      </w:r>
      <w:r w:rsidR="00A96FB6">
        <w:rPr>
          <w:i/>
        </w:rPr>
        <w:fldChar w:fldCharType="separate"/>
      </w:r>
      <w:r w:rsidR="00705691" w:rsidRPr="00705691">
        <w:rPr>
          <w:noProof/>
        </w:rPr>
        <w:t>[56]</w:t>
      </w:r>
      <w:r w:rsidR="00A96FB6">
        <w:rPr>
          <w:i/>
        </w:rPr>
        <w:fldChar w:fldCharType="end"/>
      </w:r>
      <w:r w:rsidR="00BD6788" w:rsidRPr="00BA7503">
        <w:t>.</w:t>
      </w:r>
    </w:p>
    <w:p w:rsidR="007D5C85" w:rsidRPr="00E34F40" w:rsidRDefault="007D5C85" w:rsidP="00131E36">
      <w:pPr>
        <w:pStyle w:val="a5"/>
        <w:spacing w:before="0" w:after="0"/>
        <w:ind w:left="709"/>
        <w:rPr>
          <w:b/>
        </w:rPr>
      </w:pPr>
      <w:r w:rsidRPr="00912FAC">
        <w:rPr>
          <w:b/>
        </w:rPr>
        <w:t xml:space="preserve">Уровень убедительности рекомендаций </w:t>
      </w:r>
      <w:r w:rsidR="004713CC">
        <w:rPr>
          <w:b/>
        </w:rPr>
        <w:t xml:space="preserve">− </w:t>
      </w:r>
      <w:r w:rsidR="00BD6788">
        <w:rPr>
          <w:b/>
          <w:lang w:val="en-US"/>
        </w:rPr>
        <w:t>A</w:t>
      </w:r>
      <w:r w:rsidR="000A156C">
        <w:rPr>
          <w:b/>
        </w:rPr>
        <w:t xml:space="preserve"> </w:t>
      </w:r>
      <w:r w:rsidRPr="00912FAC">
        <w:rPr>
          <w:b/>
        </w:rPr>
        <w:t>(уровень достоверности доказательств</w:t>
      </w:r>
      <w:r w:rsidR="000A156C">
        <w:rPr>
          <w:b/>
        </w:rPr>
        <w:t xml:space="preserve"> </w:t>
      </w:r>
      <w:r w:rsidR="004713CC">
        <w:rPr>
          <w:b/>
        </w:rPr>
        <w:t xml:space="preserve">− </w:t>
      </w:r>
      <w:r w:rsidR="006E390F">
        <w:rPr>
          <w:b/>
        </w:rPr>
        <w:t>1)</w:t>
      </w:r>
    </w:p>
    <w:p w:rsidR="00CF7A54" w:rsidRPr="00CF7A54" w:rsidRDefault="007D5C85" w:rsidP="00131E36">
      <w:pPr>
        <w:pStyle w:val="a5"/>
        <w:spacing w:before="0" w:after="0"/>
        <w:ind w:left="709"/>
        <w:rPr>
          <w:i/>
        </w:rPr>
      </w:pPr>
      <w:r w:rsidRPr="00912FAC">
        <w:rPr>
          <w:b/>
        </w:rPr>
        <w:t xml:space="preserve">Комментарий: </w:t>
      </w:r>
      <w:r w:rsidR="00286688" w:rsidRPr="00CF7A54">
        <w:rPr>
          <w:i/>
        </w:rPr>
        <w:t xml:space="preserve">эффективность </w:t>
      </w:r>
      <w:r w:rsidR="00CF7A54" w:rsidRPr="00CF7A54">
        <w:rPr>
          <w:i/>
        </w:rPr>
        <w:t>добавления даратумумаба</w:t>
      </w:r>
      <w:r w:rsidR="00B657E4">
        <w:rPr>
          <w:i/>
        </w:rPr>
        <w:t>**</w:t>
      </w:r>
      <w:r w:rsidR="00CF7A54" w:rsidRPr="00CF7A54">
        <w:rPr>
          <w:i/>
        </w:rPr>
        <w:t xml:space="preserve"> к комбинации бортезомиба</w:t>
      </w:r>
      <w:r w:rsidR="00B657E4">
        <w:rPr>
          <w:i/>
        </w:rPr>
        <w:t>**</w:t>
      </w:r>
      <w:r w:rsidR="00CF7A54" w:rsidRPr="00CF7A54">
        <w:rPr>
          <w:i/>
        </w:rPr>
        <w:t xml:space="preserve"> с дексаметазоном</w:t>
      </w:r>
      <w:r w:rsidR="00B657E4">
        <w:rPr>
          <w:i/>
        </w:rPr>
        <w:t>**</w:t>
      </w:r>
      <w:r w:rsidR="00CF7A54" w:rsidRPr="00CF7A54">
        <w:rPr>
          <w:i/>
        </w:rPr>
        <w:t xml:space="preserve"> у пациентов с рецидивирующей ММ, получивших по крайней мере одну предшествующую линию терапии, была оценена в крупном рандомизированном иследовании III фазы CASTOR. В исследуемой группе (DVd) достоверно чаще достигались ответы на терапию (85</w:t>
      </w:r>
      <w:r w:rsidR="004713CC">
        <w:rPr>
          <w:i/>
        </w:rPr>
        <w:t> </w:t>
      </w:r>
      <w:r w:rsidR="00CF7A54" w:rsidRPr="00CF7A54">
        <w:rPr>
          <w:i/>
        </w:rPr>
        <w:t>%), чем в контрольной группе (Vd) (63</w:t>
      </w:r>
      <w:r w:rsidR="004713CC">
        <w:rPr>
          <w:i/>
        </w:rPr>
        <w:t> </w:t>
      </w:r>
      <w:r w:rsidR="00CF7A54" w:rsidRPr="00CF7A54">
        <w:rPr>
          <w:i/>
        </w:rPr>
        <w:t>%), в 3 раза больше пациентов достигали как минимум ПР (30</w:t>
      </w:r>
      <w:r w:rsidR="004713CC">
        <w:rPr>
          <w:i/>
        </w:rPr>
        <w:t> </w:t>
      </w:r>
      <w:r w:rsidR="00CF7A54" w:rsidRPr="00CF7A54">
        <w:rPr>
          <w:i/>
        </w:rPr>
        <w:t>% против 10</w:t>
      </w:r>
      <w:r w:rsidR="004713CC">
        <w:rPr>
          <w:i/>
        </w:rPr>
        <w:t> </w:t>
      </w:r>
      <w:r w:rsidR="00CF7A54" w:rsidRPr="00CF7A54">
        <w:rPr>
          <w:i/>
        </w:rPr>
        <w:t>%) и в 7 раз больше пациентов достигали МОБ-негативности при пороге чувствительности 10</w:t>
      </w:r>
      <w:r w:rsidR="004713CC">
        <w:rPr>
          <w:i/>
        </w:rPr>
        <w:t>−</w:t>
      </w:r>
      <w:r w:rsidR="00CF7A54" w:rsidRPr="00CF7A54">
        <w:rPr>
          <w:i/>
        </w:rPr>
        <w:t>5 (14</w:t>
      </w:r>
      <w:r w:rsidR="004713CC">
        <w:rPr>
          <w:i/>
        </w:rPr>
        <w:t> </w:t>
      </w:r>
      <w:r w:rsidR="00CF7A54" w:rsidRPr="00CF7A54">
        <w:rPr>
          <w:i/>
        </w:rPr>
        <w:t>% против 2</w:t>
      </w:r>
      <w:r w:rsidR="004713CC">
        <w:rPr>
          <w:i/>
        </w:rPr>
        <w:t> </w:t>
      </w:r>
      <w:r w:rsidR="00CF7A54" w:rsidRPr="00CF7A54">
        <w:rPr>
          <w:i/>
        </w:rPr>
        <w:t>%). Медиана ВБП составила 16,7 мес</w:t>
      </w:r>
      <w:r w:rsidR="00E778E9">
        <w:rPr>
          <w:i/>
        </w:rPr>
        <w:t>.</w:t>
      </w:r>
      <w:r w:rsidR="00CF7A54" w:rsidRPr="00CF7A54">
        <w:rPr>
          <w:i/>
        </w:rPr>
        <w:t xml:space="preserve"> в группе DVd и 7,1 мес</w:t>
      </w:r>
      <w:r w:rsidR="00E778E9">
        <w:rPr>
          <w:i/>
        </w:rPr>
        <w:t>.</w:t>
      </w:r>
      <w:r w:rsidR="00CF7A54" w:rsidRPr="00CF7A54">
        <w:rPr>
          <w:i/>
        </w:rPr>
        <w:t xml:space="preserve"> в группе Vd, а при применении сразу в первом рецидиве </w:t>
      </w:r>
      <w:r w:rsidR="004713CC">
        <w:rPr>
          <w:i/>
        </w:rPr>
        <w:t>−</w:t>
      </w:r>
      <w:r w:rsidR="00CF7A54" w:rsidRPr="00CF7A54">
        <w:rPr>
          <w:i/>
        </w:rPr>
        <w:t xml:space="preserve"> 27,0</w:t>
      </w:r>
      <w:r w:rsidR="004713CC">
        <w:rPr>
          <w:i/>
        </w:rPr>
        <w:t> </w:t>
      </w:r>
      <w:r w:rsidR="00CF7A54" w:rsidRPr="00CF7A54">
        <w:rPr>
          <w:i/>
        </w:rPr>
        <w:t>мес</w:t>
      </w:r>
      <w:r w:rsidR="00E778E9">
        <w:rPr>
          <w:i/>
        </w:rPr>
        <w:t>.</w:t>
      </w:r>
      <w:r w:rsidR="00CF7A54" w:rsidRPr="00CF7A54">
        <w:rPr>
          <w:i/>
        </w:rPr>
        <w:t xml:space="preserve"> в группе DVd и 7,9 мес</w:t>
      </w:r>
      <w:r w:rsidR="00E778E9">
        <w:rPr>
          <w:i/>
        </w:rPr>
        <w:t>.</w:t>
      </w:r>
      <w:r w:rsidR="00CF7A54" w:rsidRPr="00CF7A54">
        <w:rPr>
          <w:i/>
        </w:rPr>
        <w:t xml:space="preserve"> в группе Vd.</w:t>
      </w:r>
    </w:p>
    <w:p w:rsidR="007D5C85" w:rsidRDefault="00CF7A54" w:rsidP="00131E36">
      <w:pPr>
        <w:pStyle w:val="a5"/>
        <w:spacing w:before="0" w:after="0"/>
        <w:ind w:left="709"/>
        <w:rPr>
          <w:i/>
        </w:rPr>
      </w:pPr>
      <w:r w:rsidRPr="00CF7A54">
        <w:rPr>
          <w:i/>
        </w:rPr>
        <w:t>Добавление даратумумаба</w:t>
      </w:r>
      <w:r w:rsidR="00B657E4">
        <w:rPr>
          <w:i/>
        </w:rPr>
        <w:t>**</w:t>
      </w:r>
      <w:r w:rsidRPr="00CF7A54">
        <w:rPr>
          <w:i/>
        </w:rPr>
        <w:t xml:space="preserve"> к режиму Vd не приводило к повышению токсичности: частота отмены терапии была сопоставима в об</w:t>
      </w:r>
      <w:r w:rsidR="004713CC">
        <w:rPr>
          <w:i/>
        </w:rPr>
        <w:t>е</w:t>
      </w:r>
      <w:r w:rsidRPr="00CF7A54">
        <w:rPr>
          <w:i/>
        </w:rPr>
        <w:t>их группах (10</w:t>
      </w:r>
      <w:r w:rsidR="004713CC">
        <w:rPr>
          <w:i/>
        </w:rPr>
        <w:t> </w:t>
      </w:r>
      <w:r w:rsidRPr="00CF7A54">
        <w:rPr>
          <w:i/>
        </w:rPr>
        <w:t>% при применении DVd и 9</w:t>
      </w:r>
      <w:r w:rsidR="004713CC">
        <w:rPr>
          <w:i/>
        </w:rPr>
        <w:t> </w:t>
      </w:r>
      <w:r w:rsidRPr="00CF7A54">
        <w:rPr>
          <w:i/>
        </w:rPr>
        <w:t>% при применении Vd). Профиль безопасности комбинации DVd соответствовал описанному в предшествовавших исследованиях даратумумаба</w:t>
      </w:r>
      <w:r w:rsidR="00B657E4">
        <w:rPr>
          <w:i/>
        </w:rPr>
        <w:t>**</w:t>
      </w:r>
      <w:r w:rsidRPr="00CF7A54">
        <w:rPr>
          <w:i/>
        </w:rPr>
        <w:t xml:space="preserve"> и бортезомиба</w:t>
      </w:r>
      <w:r w:rsidR="00B657E4">
        <w:rPr>
          <w:i/>
        </w:rPr>
        <w:t>**</w:t>
      </w:r>
      <w:r w:rsidRPr="00CF7A54">
        <w:rPr>
          <w:i/>
        </w:rPr>
        <w:t xml:space="preserve"> с дексаметазоном</w:t>
      </w:r>
      <w:r w:rsidR="00B657E4">
        <w:rPr>
          <w:i/>
        </w:rPr>
        <w:t>**</w:t>
      </w:r>
      <w:r w:rsidRPr="00CF7A54">
        <w:rPr>
          <w:i/>
        </w:rPr>
        <w:t>.</w:t>
      </w:r>
    </w:p>
    <w:p w:rsidR="008D36F2" w:rsidRPr="005018DF" w:rsidRDefault="00B228C7" w:rsidP="002F2D5C">
      <w:pPr>
        <w:pStyle w:val="a5"/>
        <w:numPr>
          <w:ilvl w:val="0"/>
          <w:numId w:val="11"/>
        </w:numPr>
        <w:spacing w:before="0" w:after="0"/>
        <w:ind w:left="709" w:hanging="709"/>
      </w:pPr>
      <w:r w:rsidRPr="00430246">
        <w:lastRenderedPageBreak/>
        <w:t>Пациентам с</w:t>
      </w:r>
      <w:r w:rsidR="00DB0580" w:rsidRPr="00430246">
        <w:t xml:space="preserve"> рецидивом ММ</w:t>
      </w:r>
      <w:r w:rsidRPr="00430246">
        <w:t xml:space="preserve">, которым показана противомиеломная терапия и </w:t>
      </w:r>
      <w:r w:rsidRPr="005018DF">
        <w:t xml:space="preserve">у которых не развилась </w:t>
      </w:r>
      <w:r w:rsidR="005A7F3F" w:rsidRPr="005018DF">
        <w:t>рефрактерность к</w:t>
      </w:r>
      <w:r w:rsidR="004713CC" w:rsidRPr="005018DF">
        <w:t xml:space="preserve"> </w:t>
      </w:r>
      <w:r w:rsidRPr="005018DF">
        <w:t>леналидомиду</w:t>
      </w:r>
      <w:r w:rsidR="00DB0580" w:rsidRPr="005018DF">
        <w:t>**</w:t>
      </w:r>
      <w:r w:rsidRPr="005018DF">
        <w:t>, в качестве одной из</w:t>
      </w:r>
      <w:r w:rsidR="00B657E4" w:rsidRPr="005018DF">
        <w:t xml:space="preserve"> возможных опций</w:t>
      </w:r>
      <w:r w:rsidR="00BA7503" w:rsidRPr="005018DF">
        <w:t xml:space="preserve"> </w:t>
      </w:r>
      <w:r w:rsidR="00B657E4" w:rsidRPr="005018DF">
        <w:rPr>
          <w:b/>
        </w:rPr>
        <w:t>рекомендуется</w:t>
      </w:r>
      <w:r w:rsidR="008D36F2" w:rsidRPr="005018DF">
        <w:t xml:space="preserve"> терапия с включением в схему лечения элотузумаба, леналидомида** и дексаметазона** </w:t>
      </w:r>
      <w:r w:rsidR="00032CFB" w:rsidRPr="005018DF">
        <w:t xml:space="preserve">(описание режимов – см. приложение </w:t>
      </w:r>
      <w:r w:rsidR="00C812D6" w:rsidRPr="005018DF">
        <w:t>А3.1</w:t>
      </w:r>
      <w:r w:rsidR="004713CC" w:rsidRPr="005018DF">
        <w:t>.</w:t>
      </w:r>
      <w:r w:rsidR="00032CFB" w:rsidRPr="005018DF">
        <w:t>)</w:t>
      </w:r>
      <w:r w:rsidR="00286688" w:rsidRPr="005018DF">
        <w:t xml:space="preserve"> </w:t>
      </w:r>
      <w:r w:rsidR="00A96FB6" w:rsidRPr="00177503">
        <w:rPr>
          <w:i/>
        </w:rPr>
        <w:fldChar w:fldCharType="begin" w:fldLock="1"/>
      </w:r>
      <w:r w:rsidR="00F74B6B">
        <w:rPr>
          <w:i/>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myeloma","type":"article","volume":"35"},"uris":["http://www.mendeley.com/documents/?uuid=4b51abe8-b4d6-30ad-bad9-00468e013c00"]},{"id":"ITEM-2","itemData":{"DOI":"10.1016/j.clml.2017.12.011","ISSN":"21522669","abstract":"A systematic review and network meta-analysis were conducted to compare the clinical efficacy of immunomodulatory drug-containing regimens in patients with relapsed or refractory multiple myeloma. Daratumumab plus lenalidomide and dexamethasone had a significant advantage in improving progression-free survival of patients compared with other immunomodulatory drug-containing regimens. Background: Previous network meta-analyses combined studies of immunomodulatory drug (IMiD)–containing and IMiD-free regimens, despite a lack of head-to-head randomized controlled trials to robustly link them. However, patients with relapsed or refractory multiple myeloma (RRMM) treated with IMiD-containing regimens differ from those treated with IMiD-free regimens, especially relating to treatment history, which is an important treatment-effect modifier requiring clinical consideration when evaluating the most appropriate subsequent treatment options. A need exists to separately assess the efficacy of treatment regimens for patients who are suitable candidates for IMiD-containing and IMiD-free regimens. The presented analyses will enable clinicians to assess the best regimens to use in patients suitable for IMiD-containing regimens. Materials and Methods: We used a Bayesian network meta-analysis to compare IMiD-containing regimens in patients with RRMM. Additionally, subgroup analyses were conducted stratified by previous therapy line, previous bortezomib therapy, and previous lenalidomide therapy. Results: The results indicated that triplet combinations are more effective than doublet combinations. Of the triplet combinations, daratumumab, lenalidomide, dexamethasone (DRd) was significantly better in improving progression-free survival in patients with RRMM than were other IMiD-containing regimens (lenalidomide, dexamethasone [Rd]: hazard ratio [HR], 0.37; carfilzomib, Rd: HR, 0.54; elotuzumab, Rd: HR, 0.54; ixazomib, Rd: HR, 0.50). Similar trends were observed for overall survival and overall response. DRd showed the greatest probability of being the best treatment for all clinical efficacy outcomes. The subgroup analyses results were consistent with the base-case results. Conclusion: In patients with RRMM who are suitable for an IMiD-containing regimen, DRd showed clear advantages in survival and response outcomes compared with other IMiD-containing regimens.","author":[{"dropping-particle":"","family":"Dimopoulos","given":"Meletios Athanasios","non-dropping-particle":"","parse-names":false,"suffix":""},{"dropping-particle":"","family":"Kaufman","given":"Jonathan L.","non-dropping-particle":"","parse-names":false,"suffix":""},{"dropping-particle":"","family":"White","given":"Darrell","non-dropping-particle":"","parse-names":false,"suffix":""},{"dropping-particle":"","family":"Cook","given":"Gordon","non-dropping-particle":"","parse-names":false,"suffix":""},{"dropping-particle":"","family":"Rizzo","given":"Maria","non-dropping-particle":"","parse-names":false,"suffix":""},{"dropping-particle":"","family":"Xu","given":"Yingxin","non-dropping-particle":"","parse-names":false,"suffix":""},{"dropping-particle":"","family":"Fahrbach","given":"Kyle","non-dropping-particle":"","parse-names":false,"suffix":""},{"dropping-particle":"","family":"Gaudig","given":"Maren","non-dropping-particle":"","parse-names":false,"suffix":""},{"dropping-particle":"","family":"Slavcev","given":"Mary","non-dropping-particle":"","parse-names":false,"suffix":""},{"dropping-particle":"","family":"Dearden","given":"Lindsay","non-dropping-particle":"","parse-names":false,"suffix":""},{"dropping-particle":"","family":"Lam","given":"Annette","non-dropping-particle":"","parse-names":false,"suffix":""}],"container-title":"Clinical Lymphoma, Myeloma and Leukemia","id":"ITEM-2","issue":"3","issued":{"date-parts":[["2018","3","1"]]},"page":"163-173.e6","publisher":"Elsevier Inc.","title":"A Comparison of the Efficacy of Immunomodulatory-containing Regimens in Relapsed/Refractory Multiple Myeloma: A Network Meta-analysis","type":"article-journal","volume":"18"},"uris":["http://www.mendeley.com/documents/?uuid=4543af21-4b82-3645-8d1e-52cee5a8b951"]}],"mendeley":{"formattedCitation":"[56,59]","plainTextFormattedCitation":"[56,59]","previouslyFormattedCitation":"[56,59]"},"properties":{"noteIndex":0},"schema":"https://github.com/citation-style-language/schema/raw/master/csl-citation.json"}</w:instrText>
      </w:r>
      <w:r w:rsidR="00A96FB6" w:rsidRPr="00177503">
        <w:rPr>
          <w:i/>
        </w:rPr>
        <w:fldChar w:fldCharType="separate"/>
      </w:r>
      <w:r w:rsidR="00705691" w:rsidRPr="00705691">
        <w:rPr>
          <w:noProof/>
        </w:rPr>
        <w:t>[56,59]</w:t>
      </w:r>
      <w:r w:rsidR="00A96FB6" w:rsidRPr="00177503">
        <w:rPr>
          <w:i/>
        </w:rPr>
        <w:fldChar w:fldCharType="end"/>
      </w:r>
      <w:r w:rsidR="004F07FA" w:rsidRPr="005018DF">
        <w:t>.</w:t>
      </w:r>
    </w:p>
    <w:p w:rsidR="008D36F2" w:rsidRPr="00E34F40" w:rsidRDefault="008D36F2" w:rsidP="00131E36">
      <w:pPr>
        <w:pStyle w:val="a5"/>
        <w:spacing w:before="0" w:after="0"/>
        <w:ind w:left="709"/>
        <w:rPr>
          <w:b/>
        </w:rPr>
      </w:pPr>
      <w:r w:rsidRPr="005018DF">
        <w:rPr>
          <w:b/>
        </w:rPr>
        <w:t>Уровень убедительности рекомендаций</w:t>
      </w:r>
      <w:r w:rsidRPr="00912FAC">
        <w:rPr>
          <w:b/>
        </w:rPr>
        <w:t xml:space="preserve"> </w:t>
      </w:r>
      <w:r w:rsidR="004713CC">
        <w:rPr>
          <w:b/>
        </w:rPr>
        <w:t xml:space="preserve">− </w:t>
      </w:r>
      <w:r w:rsidR="006E390F">
        <w:rPr>
          <w:b/>
        </w:rPr>
        <w:t>А</w:t>
      </w:r>
      <w:r w:rsidR="000A156C">
        <w:rPr>
          <w:b/>
        </w:rPr>
        <w:t xml:space="preserve"> </w:t>
      </w:r>
      <w:r w:rsidRPr="00912FAC">
        <w:rPr>
          <w:b/>
        </w:rPr>
        <w:t>(уровень достоверности доказательств</w:t>
      </w:r>
      <w:r w:rsidR="000A156C">
        <w:rPr>
          <w:b/>
        </w:rPr>
        <w:t xml:space="preserve"> </w:t>
      </w:r>
      <w:r w:rsidR="004713CC">
        <w:rPr>
          <w:b/>
        </w:rPr>
        <w:t xml:space="preserve">− </w:t>
      </w:r>
      <w:r w:rsidR="006E390F">
        <w:rPr>
          <w:b/>
        </w:rPr>
        <w:t>1)</w:t>
      </w:r>
    </w:p>
    <w:p w:rsidR="008D36F2" w:rsidRPr="008D36F2" w:rsidRDefault="008D36F2" w:rsidP="00131E36">
      <w:pPr>
        <w:pStyle w:val="a5"/>
        <w:spacing w:before="0" w:after="0"/>
        <w:ind w:left="709"/>
        <w:rPr>
          <w:i/>
        </w:rPr>
      </w:pPr>
      <w:r w:rsidRPr="00912FAC">
        <w:rPr>
          <w:b/>
        </w:rPr>
        <w:t xml:space="preserve">Комментарий: </w:t>
      </w:r>
      <w:r w:rsidR="004713CC">
        <w:rPr>
          <w:i/>
        </w:rPr>
        <w:t>э</w:t>
      </w:r>
      <w:r w:rsidRPr="008D36F2">
        <w:rPr>
          <w:i/>
        </w:rPr>
        <w:t>ффективность анти-SLAMF7 моноклонального антитела элотузумаба</w:t>
      </w:r>
      <w:r w:rsidR="006E416B">
        <w:rPr>
          <w:i/>
        </w:rPr>
        <w:t>**</w:t>
      </w:r>
      <w:r w:rsidRPr="008D36F2">
        <w:rPr>
          <w:i/>
        </w:rPr>
        <w:t xml:space="preserve"> была показана в рандомизированном исследовании III фазы ELOQUENT-2, в котором сравнивали элотузумаб</w:t>
      </w:r>
      <w:r w:rsidR="006E416B" w:rsidRPr="00A62AD3">
        <w:rPr>
          <w:i/>
        </w:rPr>
        <w:t>**</w:t>
      </w:r>
      <w:r w:rsidRPr="008D36F2">
        <w:rPr>
          <w:i/>
        </w:rPr>
        <w:t xml:space="preserve"> и плацебо в комбинации с леналидомидом</w:t>
      </w:r>
      <w:r w:rsidR="002B59AA">
        <w:rPr>
          <w:i/>
        </w:rPr>
        <w:t>**</w:t>
      </w:r>
      <w:r w:rsidRPr="008D36F2">
        <w:rPr>
          <w:i/>
        </w:rPr>
        <w:t xml:space="preserve"> и дексаметазоном</w:t>
      </w:r>
      <w:r w:rsidR="002B59AA">
        <w:rPr>
          <w:i/>
        </w:rPr>
        <w:t>**</w:t>
      </w:r>
      <w:r w:rsidRPr="008D36F2">
        <w:rPr>
          <w:i/>
        </w:rPr>
        <w:t xml:space="preserve"> у пациентов с рецидивами и рефрактерной ММ. В исследование включали пациент</w:t>
      </w:r>
      <w:r w:rsidR="00CD49B5">
        <w:rPr>
          <w:i/>
        </w:rPr>
        <w:t>ов</w:t>
      </w:r>
      <w:r w:rsidRPr="008D36F2">
        <w:rPr>
          <w:i/>
        </w:rPr>
        <w:t xml:space="preserve"> без документированной рефрактерности к леналидомиду</w:t>
      </w:r>
      <w:r w:rsidR="002B59AA">
        <w:rPr>
          <w:i/>
        </w:rPr>
        <w:t>**</w:t>
      </w:r>
      <w:r w:rsidRPr="008D36F2">
        <w:rPr>
          <w:i/>
        </w:rPr>
        <w:t>. Общая эффективность в группе, получавшей элотузумаб</w:t>
      </w:r>
      <w:r w:rsidR="006E416B" w:rsidRPr="00A62AD3">
        <w:rPr>
          <w:i/>
        </w:rPr>
        <w:t>**</w:t>
      </w:r>
      <w:r w:rsidRPr="00430246">
        <w:rPr>
          <w:i/>
        </w:rPr>
        <w:t>,</w:t>
      </w:r>
      <w:r w:rsidRPr="008D36F2">
        <w:rPr>
          <w:i/>
        </w:rPr>
        <w:t xml:space="preserve"> составила 79</w:t>
      </w:r>
      <w:r w:rsidR="002D414E">
        <w:rPr>
          <w:i/>
        </w:rPr>
        <w:t> </w:t>
      </w:r>
      <w:r w:rsidRPr="008D36F2">
        <w:rPr>
          <w:i/>
        </w:rPr>
        <w:t>%, в группе без элотузумаба</w:t>
      </w:r>
      <w:r w:rsidR="006E416B" w:rsidRPr="00A62AD3">
        <w:rPr>
          <w:i/>
        </w:rPr>
        <w:t>**</w:t>
      </w:r>
      <w:r w:rsidRPr="00430246">
        <w:rPr>
          <w:i/>
        </w:rPr>
        <w:t xml:space="preserve"> –</w:t>
      </w:r>
      <w:r w:rsidRPr="008D36F2">
        <w:rPr>
          <w:i/>
        </w:rPr>
        <w:t xml:space="preserve"> 66</w:t>
      </w:r>
      <w:r w:rsidR="002D414E">
        <w:rPr>
          <w:i/>
        </w:rPr>
        <w:t> </w:t>
      </w:r>
      <w:r w:rsidRPr="008D36F2">
        <w:rPr>
          <w:i/>
        </w:rPr>
        <w:t>%; медианы ВБП – 19,4 и 14,9 мес</w:t>
      </w:r>
      <w:r w:rsidR="00267DE2" w:rsidRPr="00971A8A">
        <w:rPr>
          <w:i/>
        </w:rPr>
        <w:t>.</w:t>
      </w:r>
      <w:r w:rsidRPr="008D36F2">
        <w:rPr>
          <w:i/>
        </w:rPr>
        <w:t xml:space="preserve"> соответственно. Наиболее частыми нежелательными явлениями 3 и 4</w:t>
      </w:r>
      <w:r w:rsidR="002D414E">
        <w:rPr>
          <w:i/>
        </w:rPr>
        <w:t>-й</w:t>
      </w:r>
      <w:r w:rsidRPr="008D36F2">
        <w:rPr>
          <w:i/>
        </w:rPr>
        <w:t xml:space="preserve"> степени в обеих группах были лимфоцитопения, нейтропения, пневмония и утомляемость. Инфузионные реакции (в большинстве случаев 1 и 2</w:t>
      </w:r>
      <w:r w:rsidR="002D414E">
        <w:rPr>
          <w:i/>
        </w:rPr>
        <w:t>-й</w:t>
      </w:r>
      <w:r w:rsidRPr="008D36F2">
        <w:rPr>
          <w:i/>
        </w:rPr>
        <w:t xml:space="preserve"> степени) развились у 10</w:t>
      </w:r>
      <w:r w:rsidR="002D414E">
        <w:rPr>
          <w:i/>
        </w:rPr>
        <w:t> </w:t>
      </w:r>
      <w:r w:rsidRPr="008D36F2">
        <w:rPr>
          <w:i/>
        </w:rPr>
        <w:t>%</w:t>
      </w:r>
      <w:r w:rsidR="002D414E">
        <w:rPr>
          <w:i/>
        </w:rPr>
        <w:t xml:space="preserve"> </w:t>
      </w:r>
      <w:r w:rsidR="00FB03BB" w:rsidRPr="00FB03BB">
        <w:rPr>
          <w:i/>
        </w:rPr>
        <w:t>пациентов</w:t>
      </w:r>
      <w:r w:rsidR="002B59AA">
        <w:rPr>
          <w:i/>
        </w:rPr>
        <w:t>, получавших элотузумаб</w:t>
      </w:r>
      <w:r w:rsidR="006E416B">
        <w:rPr>
          <w:i/>
        </w:rPr>
        <w:t>**</w:t>
      </w:r>
      <w:r w:rsidRPr="00A62AD3">
        <w:rPr>
          <w:i/>
        </w:rPr>
        <w:t>.</w:t>
      </w:r>
    </w:p>
    <w:p w:rsidR="0018717A" w:rsidRDefault="008D36F2" w:rsidP="00131E36">
      <w:pPr>
        <w:pStyle w:val="a5"/>
        <w:spacing w:before="0" w:after="0"/>
        <w:ind w:left="709"/>
        <w:rPr>
          <w:i/>
        </w:rPr>
      </w:pPr>
      <w:r w:rsidRPr="008D36F2">
        <w:rPr>
          <w:i/>
        </w:rPr>
        <w:t xml:space="preserve">Следует отметить, </w:t>
      </w:r>
      <w:r w:rsidR="002D414E" w:rsidRPr="00430246">
        <w:rPr>
          <w:i/>
        </w:rPr>
        <w:t>что отличительными</w:t>
      </w:r>
      <w:r w:rsidR="002D414E">
        <w:rPr>
          <w:i/>
        </w:rPr>
        <w:t xml:space="preserve"> чертами иммуно</w:t>
      </w:r>
      <w:r w:rsidRPr="008D36F2">
        <w:rPr>
          <w:i/>
        </w:rPr>
        <w:t>онкологических препаратов явля</w:t>
      </w:r>
      <w:r w:rsidR="002D414E">
        <w:rPr>
          <w:i/>
        </w:rPr>
        <w:t>ю</w:t>
      </w:r>
      <w:r w:rsidRPr="008D36F2">
        <w:rPr>
          <w:i/>
        </w:rPr>
        <w:t>тся отсроченный эффект и его длительное сохранение. Поэтому необходимо оценивать не только медиану, но и отдаленные результаты лечения. На сегодняшний день доступны данные 4-летнего наблюдения пациентов из исследования ELOQUENT-2. В группе элотузумаба</w:t>
      </w:r>
      <w:r w:rsidR="006E416B">
        <w:rPr>
          <w:i/>
        </w:rPr>
        <w:t>**</w:t>
      </w:r>
      <w:r w:rsidRPr="008D36F2">
        <w:rPr>
          <w:i/>
        </w:rPr>
        <w:t xml:space="preserve"> почти вдвое большее число пациентов все еще находились на лечении (17</w:t>
      </w:r>
      <w:r w:rsidR="0018717A">
        <w:rPr>
          <w:i/>
        </w:rPr>
        <w:t> </w:t>
      </w:r>
      <w:r w:rsidRPr="008D36F2">
        <w:rPr>
          <w:i/>
        </w:rPr>
        <w:t>% по сравнению с 9</w:t>
      </w:r>
      <w:r w:rsidR="0018717A">
        <w:rPr>
          <w:i/>
        </w:rPr>
        <w:t> </w:t>
      </w:r>
      <w:r w:rsidRPr="008D36F2">
        <w:rPr>
          <w:i/>
        </w:rPr>
        <w:t xml:space="preserve">%). Преимущество в ВБП сохранялось в течение 4 лет наблюдения: </w:t>
      </w:r>
      <w:r w:rsidR="0018717A">
        <w:rPr>
          <w:i/>
        </w:rPr>
        <w:t>числ</w:t>
      </w:r>
      <w:r w:rsidRPr="008D36F2">
        <w:rPr>
          <w:i/>
        </w:rPr>
        <w:t>о пациентов без прогрессии составило 21</w:t>
      </w:r>
      <w:r w:rsidR="0018717A">
        <w:rPr>
          <w:i/>
        </w:rPr>
        <w:t> </w:t>
      </w:r>
      <w:r w:rsidRPr="008D36F2">
        <w:rPr>
          <w:i/>
        </w:rPr>
        <w:t>% в группе элотузумаба</w:t>
      </w:r>
      <w:r w:rsidR="006E416B">
        <w:rPr>
          <w:i/>
        </w:rPr>
        <w:t>**</w:t>
      </w:r>
      <w:r w:rsidRPr="008D36F2">
        <w:rPr>
          <w:i/>
        </w:rPr>
        <w:t xml:space="preserve"> и 14</w:t>
      </w:r>
      <w:r w:rsidR="0018717A">
        <w:rPr>
          <w:i/>
        </w:rPr>
        <w:t> </w:t>
      </w:r>
      <w:r w:rsidRPr="008D36F2">
        <w:rPr>
          <w:i/>
        </w:rPr>
        <w:t>% в контрольной группе (относительное улучшение на 50</w:t>
      </w:r>
      <w:r w:rsidR="0018717A">
        <w:rPr>
          <w:i/>
        </w:rPr>
        <w:t> </w:t>
      </w:r>
      <w:r w:rsidRPr="008D36F2">
        <w:rPr>
          <w:i/>
        </w:rPr>
        <w:t>%). Время до начала следующей терапии отличалось на 12 мес</w:t>
      </w:r>
      <w:r w:rsidR="00E778E9">
        <w:rPr>
          <w:i/>
        </w:rPr>
        <w:t>.</w:t>
      </w:r>
      <w:r w:rsidRPr="008D36F2">
        <w:rPr>
          <w:i/>
        </w:rPr>
        <w:t xml:space="preserve"> в пользу пациентов, по</w:t>
      </w:r>
      <w:r w:rsidR="0018717A">
        <w:rPr>
          <w:i/>
        </w:rPr>
        <w:t>лучавших элотузумаб</w:t>
      </w:r>
      <w:r w:rsidR="006E416B">
        <w:rPr>
          <w:i/>
        </w:rPr>
        <w:t>**</w:t>
      </w:r>
      <w:r w:rsidR="0018717A">
        <w:rPr>
          <w:i/>
        </w:rPr>
        <w:t xml:space="preserve"> (33 и 21 мес</w:t>
      </w:r>
      <w:r w:rsidR="00267DE2" w:rsidRPr="00971A8A">
        <w:rPr>
          <w:i/>
        </w:rPr>
        <w:t>.</w:t>
      </w:r>
      <w:r w:rsidRPr="008D36F2">
        <w:rPr>
          <w:i/>
        </w:rPr>
        <w:t xml:space="preserve"> соответственно).</w:t>
      </w:r>
    </w:p>
    <w:p w:rsidR="00241DE1" w:rsidRDefault="00241DE1" w:rsidP="00E36DFA">
      <w:pPr>
        <w:pStyle w:val="a3"/>
        <w:spacing w:before="0" w:beforeAutospacing="0" w:after="0" w:afterAutospacing="0" w:line="360" w:lineRule="auto"/>
        <w:ind w:firstLine="709"/>
        <w:outlineLvl w:val="1"/>
        <w:rPr>
          <w:rStyle w:val="ab"/>
          <w:rFonts w:eastAsia="Calibri"/>
          <w:szCs w:val="22"/>
          <w:u w:val="single"/>
          <w:lang w:eastAsia="en-US"/>
        </w:rPr>
      </w:pPr>
      <w:bookmarkStart w:id="32" w:name="_Toc24826822"/>
      <w:r>
        <w:rPr>
          <w:rStyle w:val="ab"/>
          <w:u w:val="single"/>
        </w:rPr>
        <w:t>3.4.2</w:t>
      </w:r>
      <w:r w:rsidR="0018717A">
        <w:rPr>
          <w:rStyle w:val="ab"/>
          <w:u w:val="single"/>
        </w:rPr>
        <w:t xml:space="preserve"> </w:t>
      </w:r>
      <w:r>
        <w:rPr>
          <w:rStyle w:val="ab"/>
          <w:u w:val="single"/>
        </w:rPr>
        <w:t>Лечение рецидива ММ, отягощенного двойной рефрактерностью</w:t>
      </w:r>
      <w:bookmarkEnd w:id="32"/>
    </w:p>
    <w:p w:rsidR="00D14A54" w:rsidRDefault="00D14A54" w:rsidP="002F2D5C">
      <w:pPr>
        <w:pStyle w:val="a5"/>
        <w:numPr>
          <w:ilvl w:val="0"/>
          <w:numId w:val="9"/>
        </w:numPr>
        <w:tabs>
          <w:tab w:val="clear" w:pos="348"/>
          <w:tab w:val="num" w:pos="709"/>
        </w:tabs>
        <w:spacing w:before="0" w:after="0"/>
        <w:ind w:left="709" w:hanging="709"/>
      </w:pPr>
      <w:r>
        <w:t xml:space="preserve">Пациентам с </w:t>
      </w:r>
      <w:r w:rsidR="00B15365">
        <w:t>рецидивом ММ</w:t>
      </w:r>
      <w:r w:rsidRPr="00E34F40">
        <w:t>, которы</w:t>
      </w:r>
      <w:r w:rsidR="00155D8D" w:rsidRPr="00E34F40">
        <w:t>е ра</w:t>
      </w:r>
      <w:r w:rsidR="00610FE7" w:rsidRPr="00E34F40">
        <w:t>ньше получали терапию ингибиторами</w:t>
      </w:r>
      <w:r w:rsidR="00155D8D" w:rsidRPr="00E34F40">
        <w:t xml:space="preserve"> проте</w:t>
      </w:r>
      <w:r w:rsidR="000C2F12">
        <w:t>а</w:t>
      </w:r>
      <w:r w:rsidR="00155D8D" w:rsidRPr="00E34F40">
        <w:t>сом и леналидомид</w:t>
      </w:r>
      <w:r w:rsidR="00610FE7" w:rsidRPr="00E34F40">
        <w:t>ом</w:t>
      </w:r>
      <w:r w:rsidR="00B15365">
        <w:t>**</w:t>
      </w:r>
      <w:r w:rsidR="006F0CFC">
        <w:t>,</w:t>
      </w:r>
      <w:r w:rsidR="00155D8D" w:rsidRPr="00E34F40">
        <w:t xml:space="preserve"> и у которых наблюдалось прогрессирование заболевания на фоне предшествующей</w:t>
      </w:r>
      <w:r w:rsidR="00155D8D">
        <w:t xml:space="preserve"> терапии, </w:t>
      </w:r>
      <w:r>
        <w:t>в качестве одн</w:t>
      </w:r>
      <w:r w:rsidR="00B657E4">
        <w:t xml:space="preserve">ой из возможных </w:t>
      </w:r>
      <w:r w:rsidR="00B657E4">
        <w:lastRenderedPageBreak/>
        <w:t>опций</w:t>
      </w:r>
      <w:r w:rsidR="000A156C">
        <w:t xml:space="preserve"> </w:t>
      </w:r>
      <w:r w:rsidR="00B657E4">
        <w:rPr>
          <w:b/>
        </w:rPr>
        <w:t>рекомендуется</w:t>
      </w:r>
      <w:r>
        <w:t xml:space="preserve"> терапия с включением в схему лечения </w:t>
      </w:r>
      <w:r w:rsidR="00155D8D">
        <w:t>помалидомида</w:t>
      </w:r>
      <w:r>
        <w:t xml:space="preserve"> и дексаметазона** </w:t>
      </w:r>
      <w:r w:rsidR="00032CFB">
        <w:t xml:space="preserve">(описание режимов – см. приложение </w:t>
      </w:r>
      <w:r w:rsidR="00C812D6">
        <w:t>А3.1</w:t>
      </w:r>
      <w:r w:rsidR="00E137CF">
        <w:t>.</w:t>
      </w:r>
      <w:r w:rsidR="00032CFB">
        <w:t>)</w:t>
      </w:r>
      <w:r w:rsidR="00286688" w:rsidRPr="00286688">
        <w:t xml:space="preserve"> </w:t>
      </w:r>
      <w:r w:rsidR="00A96FB6">
        <w:fldChar w:fldCharType="begin" w:fldLock="1"/>
      </w:r>
      <w:r w:rsidR="00F74B6B">
        <w:instrText>ADDIN CSL_CITATION {"citationItems":[{"id":"ITEM-1","itemData":{"DOI":"10.1016/S1470-2045(13)70380-2","ISSN":"14702045","abstract":"Background: Few effective treatments exist for patients with refractory or relapsed and refractory multiple myeloma not responding to treatment with bortezomib and lenalidomide. Pomalidomide alone has shown limited efficacy in patients with relapsed multiple myeloma, but synergistic effects have been noted when combined with dexamethasone. We compared the efficacy and safety of pomalidomide plus low-dose dexamethasone with high-dose dexamethasone alone in these patients. Methods: This multicentre, open-label, randomised phase 3 trial was undertaken in Australia, Canada, Europe, Russia, and the USA. Patients were eligible if they had been diagnosed with refractory or relapsed and refractory multiple myeloma, and had failed at least two previous treatments of bortezomib and lenalidomide. They were assigned in a 2:1 ratio with a validated interactive voice and internet response system to either 28 day cycles of pomalidomide (4 mg/day on days 1-21, orally) plus low-dose dexamethasone (40 mg/day on days 1, 8, 15, and 22, orally) or high-dose dexamethasone (40 mg/day on days 1-4, 9-12, and 17-20, orally) until disease progression or unacceptable toxicity. Stratification factors were age (≤75 years vs &gt;75 years), disease population (refractory vs relapsed and refractory vs bortezomib intolerant), and number of previous treatments (two vs more than two). The primary endpoint was progression-free survival (PFS). Analysis was by intention to treat. This trial is registered with ClinicalTrials.gov, number NCT01311687, and with EudraCT, number 2010-019820-30. Findings: The accrual for the study has been completed and the analyses are presented. 302 patients were randomly assigned to receive pomalidomide plus low-dose dexamethasone and 153 high-dose dexamethasone. After a median follow-up of 10·0 months (IQR 7·2-13·2), median PFS with pomalidomide plus low-dose dexamethasone was 4·0 months (95% CI 3·6-4·7) versus 1·9 months (1·9-2·2) with high-dose dexamethasone (hazard ratio 0·48 [95% CI 0·39-0·60]; p&lt;0·0001). The most common grade 3-4 haematological adverse events in the pomalidomide plus low-dose dexamethasone and high-dose dexamethasone groups were neutropenia (143 [48%] of 300 vs 24 [16%] of 150, respectively), anaemia (99 [33%] vs 55 [37%], respectively), and thrombocytopenia (67 [22%] vs 39 [26%], respectively). Grade 3-4 non-haematological adverse events in the pomalidomide plus low-dose dexamethasone and high-dose dexamethasone groups included pneumonia (38…","author":[{"dropping-particle":"","family":"Miguel","given":"Jesus San","non-dropping-particle":"","parse-names":false,"suffix":""},{"dropping-particle":"","family":"Weisel","given":"Katja","non-dropping-particle":"","parse-names":false,"suffix":""},{"dropping-particle":"","family":"Moreau","given":"Philippe","non-dropping-particle":"","parse-names":false,"suffix":""},{"dropping-particle":"","family":"Lacy","given":"Martha","non-dropping-particle":"","parse-names":false,"suffix":""},{"dropping-particle":"","family":"Song","given":"Kevin","non-dropping-particle":"","parse-names":false,"suffix":""},{"dropping-particle":"","family":"Delforge","given":"Michel","non-dropping-particle":"","parse-names":false,"suffix":""},{"dropping-particle":"","family":"Karlin","given":"Lionel","non-dropping-particle":"","parse-names":false,"suffix":""},{"dropping-particle":"","family":"Goldschmidt","given":"Hartmut","non-dropping-particle":"","parse-names":false,"suffix":""},{"dropping-particle":"","family":"Banos","given":"Anne","non-dropping-particle":"","parse-names":false,"suffix":""},{"dropping-particle":"","family":"Oriol","given":"Albert","non-dropping-particle":"","parse-names":false,"suffix":""},{"dropping-particle":"","family":"Alegre","given":"Adrian","non-dropping-particle":"","parse-names":false,"suffix":""},{"dropping-particle":"","family":"Chen","given":"Christine","non-dropping-particle":"","parse-names":false,"suffix":""},{"dropping-particle":"","family":"Cavo","given":"Michele","non-dropping-particle":"","parse-names":false,"suffix":""},{"dropping-particle":"","family":"Garderet","given":"Laurent","non-dropping-particle":"","parse-names":false,"suffix":""},{"dropping-particle":"","family":"Ivanova","given":"Valentina","non-dropping-particle":"","parse-names":false,"suffix":""},{"dropping-particle":"","family":"Martinez-Lopez","given":"Joaquin","non-dropping-particle":"","parse-names":false,"suffix":""},{"dropping-particle":"","family":"Belch","given":"Andrew","non-dropping-particle":"","parse-names":false,"suffix":""},{"dropping-particle":"","family":"Palumbo","given":"Antonio","non-dropping-particle":"","parse-names":false,"suffix":""},{"dropping-particle":"","family":"Schey","given":"Stephen","non-dropping-particle":"","parse-names":false,"suffix":""},{"dropping-particle":"","family":"Sonneveld","given":"Pieter","non-dropping-particle":"","parse-names":false,"suffix":""},{"dropping-particle":"","family":"Yu","given":"Xin","non-dropping-particle":"","parse-names":false,"suffix":""},{"dropping-particle":"","family":"Sternas","given":"Lars","non-dropping-particle":"","parse-names":false,"suffix":""},{"dropping-particle":"","family":"Jacques","given":"Christian","non-dropping-particle":"","parse-names":false,"suffix":""},{"dropping-particle":"","family":"Zaki","given":"Mohamed","non-dropping-particle":"","parse-names":false,"suffix":""},{"dropping-particle":"","family":"Dimopoulos","given":"Meletios","non-dropping-particle":"","parse-names":false,"suffix":""}],"container-title":"The Lancet Oncology","id":"ITEM-1","issue":"11","issued":{"date-parts":[["2013","10"]]},"page":"1055-1066","title":"Pomalidomide plus low-dose dexamethasone versus high-dose dexamethasone alone for patients with relapsed and refractory multiple myeloma (MM-003): A randomised, open-label, phase 3 trial","type":"article-journal","volume":"14"},"uris":["http://www.mendeley.com/documents/?uuid=212c99f9-e3b6-332f-a2d2-503dd0b7864a"]}],"mendeley":{"formattedCitation":"[63]","plainTextFormattedCitation":"[63]","previouslyFormattedCitation":"[63]"},"properties":{"noteIndex":0},"schema":"https://github.com/citation-style-language/schema/raw/master/csl-citation.json"}</w:instrText>
      </w:r>
      <w:r w:rsidR="00A96FB6">
        <w:fldChar w:fldCharType="separate"/>
      </w:r>
      <w:r w:rsidR="00705691" w:rsidRPr="00705691">
        <w:rPr>
          <w:noProof/>
        </w:rPr>
        <w:t>[63]</w:t>
      </w:r>
      <w:r w:rsidR="00A96FB6">
        <w:fldChar w:fldCharType="end"/>
      </w:r>
      <w:r w:rsidR="002B59AA">
        <w:t>.</w:t>
      </w:r>
    </w:p>
    <w:p w:rsidR="00D14A54" w:rsidRDefault="00D14A54" w:rsidP="00131E36">
      <w:pPr>
        <w:pStyle w:val="a5"/>
        <w:spacing w:before="0" w:after="0"/>
        <w:ind w:left="709"/>
        <w:rPr>
          <w:b/>
        </w:rPr>
      </w:pPr>
      <w:r w:rsidRPr="00912FAC">
        <w:rPr>
          <w:b/>
        </w:rPr>
        <w:t xml:space="preserve">Уровень убедительности рекомендаций </w:t>
      </w:r>
      <w:r w:rsidR="00E137CF">
        <w:rPr>
          <w:b/>
        </w:rPr>
        <w:t xml:space="preserve">− </w:t>
      </w:r>
      <w:r w:rsidR="00BD6788">
        <w:rPr>
          <w:b/>
          <w:lang w:val="en-US"/>
        </w:rPr>
        <w:t>A</w:t>
      </w:r>
      <w:r w:rsidR="00286688" w:rsidRPr="00286688">
        <w:rPr>
          <w:b/>
        </w:rPr>
        <w:t xml:space="preserve"> </w:t>
      </w:r>
      <w:r w:rsidRPr="00912FAC">
        <w:rPr>
          <w:b/>
        </w:rPr>
        <w:t>(уровень достоверности доказательств</w:t>
      </w:r>
      <w:r w:rsidR="00286688" w:rsidRPr="00286688">
        <w:rPr>
          <w:b/>
        </w:rPr>
        <w:t xml:space="preserve"> </w:t>
      </w:r>
      <w:r w:rsidR="00E137CF">
        <w:rPr>
          <w:b/>
        </w:rPr>
        <w:t xml:space="preserve">− </w:t>
      </w:r>
      <w:r w:rsidR="00BD6788" w:rsidRPr="00155D8D">
        <w:rPr>
          <w:b/>
        </w:rPr>
        <w:t>2</w:t>
      </w:r>
      <w:r w:rsidRPr="00912FAC">
        <w:rPr>
          <w:b/>
        </w:rPr>
        <w:t>)</w:t>
      </w:r>
    </w:p>
    <w:p w:rsidR="00023729" w:rsidRDefault="00D14A54" w:rsidP="00E36DFA">
      <w:pPr>
        <w:pStyle w:val="a3"/>
        <w:spacing w:before="0" w:beforeAutospacing="0" w:after="0" w:afterAutospacing="0" w:line="360" w:lineRule="auto"/>
        <w:ind w:left="709"/>
        <w:contextualSpacing/>
        <w:jc w:val="both"/>
        <w:rPr>
          <w:i/>
        </w:rPr>
      </w:pPr>
      <w:r w:rsidRPr="00912FAC">
        <w:rPr>
          <w:b/>
        </w:rPr>
        <w:t xml:space="preserve">Комментарий: </w:t>
      </w:r>
      <w:r w:rsidR="00286688" w:rsidRPr="00023729">
        <w:rPr>
          <w:i/>
        </w:rPr>
        <w:t xml:space="preserve">в </w:t>
      </w:r>
      <w:r w:rsidR="00023729" w:rsidRPr="00023729">
        <w:rPr>
          <w:i/>
        </w:rPr>
        <w:t>крупном рандомизированном исследовании III фазы ММ-003 участвовал</w:t>
      </w:r>
      <w:r w:rsidR="00E137CF">
        <w:rPr>
          <w:i/>
        </w:rPr>
        <w:t>и</w:t>
      </w:r>
      <w:r w:rsidR="00023729" w:rsidRPr="00023729">
        <w:rPr>
          <w:i/>
        </w:rPr>
        <w:t xml:space="preserve"> 445 пациентов с рецидивами и рефрактерной ММ, у большинства из которых (75</w:t>
      </w:r>
      <w:r w:rsidR="00E137CF">
        <w:rPr>
          <w:i/>
        </w:rPr>
        <w:t> </w:t>
      </w:r>
      <w:r w:rsidR="00023729" w:rsidRPr="00023729">
        <w:rPr>
          <w:i/>
        </w:rPr>
        <w:t>%) отмечалась резистентность к бортезомибу</w:t>
      </w:r>
      <w:r w:rsidR="00B15365">
        <w:rPr>
          <w:i/>
        </w:rPr>
        <w:t>**</w:t>
      </w:r>
      <w:r w:rsidR="00023729" w:rsidRPr="00023729">
        <w:rPr>
          <w:i/>
        </w:rPr>
        <w:t xml:space="preserve"> и леналидомиду</w:t>
      </w:r>
      <w:r w:rsidR="00B15365">
        <w:rPr>
          <w:i/>
        </w:rPr>
        <w:t>**</w:t>
      </w:r>
      <w:r w:rsidR="00023729" w:rsidRPr="00023729">
        <w:rPr>
          <w:i/>
        </w:rPr>
        <w:t>. В этом исследовании проведено сравнение эффективности комбинации помалидомида с дексаметазоном</w:t>
      </w:r>
      <w:r w:rsidR="00B15365">
        <w:rPr>
          <w:i/>
        </w:rPr>
        <w:t>**</w:t>
      </w:r>
      <w:r w:rsidR="00023729" w:rsidRPr="00023729">
        <w:rPr>
          <w:i/>
        </w:rPr>
        <w:t xml:space="preserve"> в низкой дозе и только дексаметазона</w:t>
      </w:r>
      <w:r w:rsidR="00B15365">
        <w:rPr>
          <w:i/>
        </w:rPr>
        <w:t>**</w:t>
      </w:r>
      <w:r w:rsidR="00023729" w:rsidRPr="00023729">
        <w:rPr>
          <w:i/>
        </w:rPr>
        <w:t xml:space="preserve"> в высокой дозе. До включения в исследование </w:t>
      </w:r>
      <w:r w:rsidR="00E94D41">
        <w:rPr>
          <w:i/>
        </w:rPr>
        <w:t>пациенты</w:t>
      </w:r>
      <w:r w:rsidR="00E137CF">
        <w:rPr>
          <w:i/>
        </w:rPr>
        <w:t xml:space="preserve"> </w:t>
      </w:r>
      <w:r w:rsidR="00023729" w:rsidRPr="00023729">
        <w:rPr>
          <w:i/>
        </w:rPr>
        <w:t>получили от 2 до 17 линий терапии (медиана 5). Общая эффективность лечения помалидомидом и дексаметазоном</w:t>
      </w:r>
      <w:r w:rsidR="00B15365">
        <w:rPr>
          <w:i/>
        </w:rPr>
        <w:t>**</w:t>
      </w:r>
      <w:r w:rsidR="00023729" w:rsidRPr="00430246">
        <w:rPr>
          <w:i/>
        </w:rPr>
        <w:t xml:space="preserve"> была значительно выше (31</w:t>
      </w:r>
      <w:r w:rsidR="00E137CF" w:rsidRPr="00430246">
        <w:rPr>
          <w:i/>
        </w:rPr>
        <w:t xml:space="preserve"> </w:t>
      </w:r>
      <w:r w:rsidR="00023729" w:rsidRPr="006E416B">
        <w:rPr>
          <w:i/>
        </w:rPr>
        <w:t>%), чем при использовании дексаметазона</w:t>
      </w:r>
      <w:r w:rsidR="00B15365" w:rsidRPr="006E416B">
        <w:rPr>
          <w:i/>
        </w:rPr>
        <w:t>**</w:t>
      </w:r>
      <w:r w:rsidR="00023729" w:rsidRPr="006E416B">
        <w:rPr>
          <w:i/>
        </w:rPr>
        <w:t xml:space="preserve"> в высокой дозе (10</w:t>
      </w:r>
      <w:r w:rsidR="00E137CF" w:rsidRPr="006E416B">
        <w:rPr>
          <w:i/>
        </w:rPr>
        <w:t> </w:t>
      </w:r>
      <w:r w:rsidR="00023729" w:rsidRPr="006E416B">
        <w:rPr>
          <w:i/>
        </w:rPr>
        <w:t>%). Также показано улучшение показателей выживаемости при использовании сочетания препаратов по сравнению с лечением</w:t>
      </w:r>
      <w:r w:rsidR="00023729" w:rsidRPr="00023729">
        <w:rPr>
          <w:i/>
        </w:rPr>
        <w:t xml:space="preserve"> дексаметазоном</w:t>
      </w:r>
      <w:r w:rsidR="00B15365">
        <w:rPr>
          <w:i/>
        </w:rPr>
        <w:t>**</w:t>
      </w:r>
      <w:r w:rsidR="00023729" w:rsidRPr="00023729">
        <w:rPr>
          <w:i/>
        </w:rPr>
        <w:t xml:space="preserve"> в высокой дозе. При медиане наблюдения 15,4 мес</w:t>
      </w:r>
      <w:r w:rsidR="00E778E9">
        <w:rPr>
          <w:i/>
        </w:rPr>
        <w:t>.</w:t>
      </w:r>
      <w:r w:rsidR="00023729" w:rsidRPr="00023729">
        <w:rPr>
          <w:i/>
        </w:rPr>
        <w:t xml:space="preserve"> медианы ВБП составили 4 и 1,9 мес, ОВ </w:t>
      </w:r>
      <w:r w:rsidR="0093772A">
        <w:rPr>
          <w:i/>
        </w:rPr>
        <w:t>−</w:t>
      </w:r>
      <w:r w:rsidR="00023729" w:rsidRPr="00023729">
        <w:rPr>
          <w:i/>
        </w:rPr>
        <w:t xml:space="preserve"> 13,1</w:t>
      </w:r>
      <w:r w:rsidR="0093772A">
        <w:rPr>
          <w:i/>
        </w:rPr>
        <w:t xml:space="preserve"> </w:t>
      </w:r>
      <w:r w:rsidR="00023729" w:rsidRPr="00023729">
        <w:rPr>
          <w:i/>
        </w:rPr>
        <w:t>и 8,1 мес</w:t>
      </w:r>
      <w:r w:rsidR="00E778E9">
        <w:rPr>
          <w:i/>
        </w:rPr>
        <w:t>.</w:t>
      </w:r>
      <w:r w:rsidR="00023729" w:rsidRPr="00023729">
        <w:rPr>
          <w:i/>
        </w:rPr>
        <w:t xml:space="preserve"> соответственно. Улучшение </w:t>
      </w:r>
      <w:r w:rsidR="0093772A">
        <w:rPr>
          <w:i/>
        </w:rPr>
        <w:t>ОВ</w:t>
      </w:r>
      <w:r w:rsidR="00023729" w:rsidRPr="00023729">
        <w:rPr>
          <w:i/>
        </w:rPr>
        <w:t xml:space="preserve"> при лечении помалидомидом и дексаметазоном</w:t>
      </w:r>
      <w:r w:rsidR="00B15365">
        <w:rPr>
          <w:i/>
        </w:rPr>
        <w:t>**</w:t>
      </w:r>
      <w:r w:rsidR="00023729" w:rsidRPr="00023729">
        <w:rPr>
          <w:i/>
        </w:rPr>
        <w:t xml:space="preserve"> в низкой дозе было значительным, несмотря на то что ко времени проведения анализа 50</w:t>
      </w:r>
      <w:r w:rsidR="0093772A">
        <w:rPr>
          <w:i/>
        </w:rPr>
        <w:t> </w:t>
      </w:r>
      <w:r w:rsidR="00023729" w:rsidRPr="00023729">
        <w:rPr>
          <w:i/>
        </w:rPr>
        <w:t>% пациентов, рандомизированных для получения дексаметазона</w:t>
      </w:r>
      <w:r w:rsidR="00B15365">
        <w:rPr>
          <w:i/>
        </w:rPr>
        <w:t>**</w:t>
      </w:r>
      <w:r w:rsidR="00023729" w:rsidRPr="00023729">
        <w:rPr>
          <w:i/>
        </w:rPr>
        <w:t>, уже получали помалидомид. У пациентов, достигших минимального ответа на терапию, включавшую помалидомид, ОВ составила 17,2</w:t>
      </w:r>
      <w:r w:rsidR="00F168F7">
        <w:rPr>
          <w:i/>
        </w:rPr>
        <w:t> </w:t>
      </w:r>
      <w:r w:rsidR="00023729" w:rsidRPr="00023729">
        <w:rPr>
          <w:i/>
        </w:rPr>
        <w:t>мес</w:t>
      </w:r>
      <w:r w:rsidR="00F168F7">
        <w:rPr>
          <w:i/>
        </w:rPr>
        <w:t>,</w:t>
      </w:r>
      <w:r w:rsidR="00023729" w:rsidRPr="00023729">
        <w:rPr>
          <w:i/>
        </w:rPr>
        <w:t xml:space="preserve"> при достижении частичного ответа – 19,9</w:t>
      </w:r>
      <w:r w:rsidR="00F168F7">
        <w:rPr>
          <w:i/>
        </w:rPr>
        <w:t> </w:t>
      </w:r>
      <w:r w:rsidR="00023729" w:rsidRPr="00023729">
        <w:rPr>
          <w:i/>
        </w:rPr>
        <w:t>мес.</w:t>
      </w:r>
    </w:p>
    <w:p w:rsidR="00023729" w:rsidRDefault="00023729" w:rsidP="00E36DFA">
      <w:pPr>
        <w:pStyle w:val="a3"/>
        <w:spacing w:before="0" w:beforeAutospacing="0" w:after="0" w:afterAutospacing="0" w:line="360" w:lineRule="auto"/>
        <w:ind w:left="709"/>
        <w:contextualSpacing/>
        <w:jc w:val="both"/>
        <w:rPr>
          <w:i/>
        </w:rPr>
      </w:pPr>
      <w:r w:rsidRPr="00023729">
        <w:rPr>
          <w:i/>
        </w:rPr>
        <w:t>Помалидомид</w:t>
      </w:r>
      <w:r w:rsidR="00F168F7">
        <w:rPr>
          <w:i/>
        </w:rPr>
        <w:t xml:space="preserve"> </w:t>
      </w:r>
      <w:r w:rsidRPr="00023729">
        <w:rPr>
          <w:i/>
        </w:rPr>
        <w:t>метаболизируется в печени</w:t>
      </w:r>
      <w:r w:rsidR="00F168F7">
        <w:rPr>
          <w:i/>
        </w:rPr>
        <w:t>,</w:t>
      </w:r>
      <w:r w:rsidRPr="00023729">
        <w:rPr>
          <w:i/>
        </w:rPr>
        <w:t xml:space="preserve"> и в отличие от леналидомида</w:t>
      </w:r>
      <w:r w:rsidR="00B15365">
        <w:rPr>
          <w:i/>
        </w:rPr>
        <w:t>**</w:t>
      </w:r>
      <w:r w:rsidRPr="00023729">
        <w:rPr>
          <w:i/>
        </w:rPr>
        <w:t xml:space="preserve"> только 2</w:t>
      </w:r>
      <w:r w:rsidR="00F168F7">
        <w:rPr>
          <w:i/>
        </w:rPr>
        <w:t> </w:t>
      </w:r>
      <w:r w:rsidRPr="00023729">
        <w:rPr>
          <w:i/>
        </w:rPr>
        <w:t xml:space="preserve">% неизмененного препарата выводится с мочой. У </w:t>
      </w:r>
      <w:r w:rsidR="00FB03BB" w:rsidRPr="00FB03BB">
        <w:rPr>
          <w:i/>
        </w:rPr>
        <w:t>пациентов</w:t>
      </w:r>
      <w:r w:rsidRPr="00023729">
        <w:rPr>
          <w:i/>
        </w:rPr>
        <w:t xml:space="preserve"> с любой степенью почечной недостаточности не требуется изменения дозы помалидомида. В дни гемодиализа препарат следует принимать после выполнения процедуры.</w:t>
      </w:r>
    </w:p>
    <w:p w:rsidR="00023729" w:rsidRDefault="00023729" w:rsidP="00E36DFA">
      <w:pPr>
        <w:pStyle w:val="a3"/>
        <w:spacing w:before="0" w:beforeAutospacing="0" w:after="0" w:afterAutospacing="0" w:line="360" w:lineRule="auto"/>
        <w:ind w:left="709"/>
        <w:contextualSpacing/>
        <w:jc w:val="both"/>
        <w:rPr>
          <w:i/>
        </w:rPr>
      </w:pPr>
      <w:r w:rsidRPr="00023729">
        <w:rPr>
          <w:i/>
        </w:rPr>
        <w:t>Применение помалидомида требует профилактики тромботических осложнений. При наличии хотя бы одного фактора риска развития венозных тромбоэмболических осложнений рекомендуется антикоагулянтная терапия низкомолекулярными гепаринами.</w:t>
      </w:r>
    </w:p>
    <w:p w:rsidR="00241DE1" w:rsidRDefault="00023729" w:rsidP="00E36DFA">
      <w:pPr>
        <w:pStyle w:val="a3"/>
        <w:spacing w:before="0" w:beforeAutospacing="0" w:after="0" w:afterAutospacing="0" w:line="360" w:lineRule="auto"/>
        <w:ind w:left="709"/>
        <w:contextualSpacing/>
        <w:jc w:val="both"/>
        <w:rPr>
          <w:i/>
        </w:rPr>
      </w:pPr>
      <w:r w:rsidRPr="00023729">
        <w:rPr>
          <w:i/>
        </w:rPr>
        <w:t>Терапию помалидомидом в сочетании с низкими дозами дексаметазона</w:t>
      </w:r>
      <w:r w:rsidR="00B15365">
        <w:rPr>
          <w:i/>
        </w:rPr>
        <w:t>**</w:t>
      </w:r>
      <w:r w:rsidRPr="00023729">
        <w:rPr>
          <w:i/>
        </w:rPr>
        <w:t xml:space="preserve"> рекомендуется проводить до прогрессирования заболевания. При достижении плато ответа следует рассмотреть возможность снижения дозы дексаметазона</w:t>
      </w:r>
      <w:r w:rsidR="00B15365">
        <w:rPr>
          <w:i/>
        </w:rPr>
        <w:t>**</w:t>
      </w:r>
      <w:r w:rsidRPr="00023729">
        <w:rPr>
          <w:i/>
        </w:rPr>
        <w:t xml:space="preserve"> для улучшения переносимости длительного лечения.</w:t>
      </w:r>
    </w:p>
    <w:p w:rsidR="00023729" w:rsidRDefault="00023729" w:rsidP="002F2D5C">
      <w:pPr>
        <w:pStyle w:val="a5"/>
        <w:numPr>
          <w:ilvl w:val="0"/>
          <w:numId w:val="9"/>
        </w:numPr>
        <w:tabs>
          <w:tab w:val="clear" w:pos="348"/>
          <w:tab w:val="num" w:pos="709"/>
        </w:tabs>
        <w:spacing w:before="0" w:after="0"/>
        <w:ind w:left="709" w:hanging="709"/>
      </w:pPr>
      <w:r>
        <w:lastRenderedPageBreak/>
        <w:t xml:space="preserve">Пациентам с </w:t>
      </w:r>
      <w:r w:rsidR="00B15365">
        <w:t>рецидивом ММ</w:t>
      </w:r>
      <w:r w:rsidRPr="00E34F40">
        <w:t>, которые раньше получали терапию</w:t>
      </w:r>
      <w:r w:rsidR="00610FE7" w:rsidRPr="00E34F40">
        <w:t xml:space="preserve"> ингибиторами</w:t>
      </w:r>
      <w:r w:rsidRPr="00E34F40">
        <w:t xml:space="preserve"> проте</w:t>
      </w:r>
      <w:r w:rsidR="000C2F12">
        <w:t>а</w:t>
      </w:r>
      <w:r w:rsidRPr="00E34F40">
        <w:t>сом и леналидомид</w:t>
      </w:r>
      <w:r w:rsidR="00610FE7" w:rsidRPr="00E34F40">
        <w:t>ом</w:t>
      </w:r>
      <w:r w:rsidR="00B15365">
        <w:t>**</w:t>
      </w:r>
      <w:r>
        <w:t xml:space="preserve"> и у которых наблюдалось прогрессирование заболевания на фоне предшествующей терапии, в качестве</w:t>
      </w:r>
      <w:r w:rsidR="00277FD3">
        <w:t xml:space="preserve"> одной из возможных опций</w:t>
      </w:r>
      <w:r w:rsidR="00286688" w:rsidRPr="00286688">
        <w:t xml:space="preserve"> </w:t>
      </w:r>
      <w:r w:rsidR="00277FD3">
        <w:rPr>
          <w:b/>
        </w:rPr>
        <w:t>рекомендуется</w:t>
      </w:r>
      <w:r w:rsidR="00286688" w:rsidRPr="00286688">
        <w:rPr>
          <w:b/>
        </w:rPr>
        <w:t xml:space="preserve"> </w:t>
      </w:r>
      <w:r>
        <w:t>монотерапия</w:t>
      </w:r>
      <w:r w:rsidR="009D3B20">
        <w:t xml:space="preserve"> </w:t>
      </w:r>
      <w:r>
        <w:t xml:space="preserve">даратумумабом** </w:t>
      </w:r>
      <w:r w:rsidR="00032CFB">
        <w:t xml:space="preserve">(описание режимов – см. приложение </w:t>
      </w:r>
      <w:r w:rsidR="00C812D6">
        <w:t>А3.1</w:t>
      </w:r>
      <w:r w:rsidR="008B576F">
        <w:t>.</w:t>
      </w:r>
      <w:r w:rsidR="00032CFB">
        <w:t>)</w:t>
      </w:r>
      <w:r w:rsidR="00286688" w:rsidRPr="00286688">
        <w:t xml:space="preserve"> </w:t>
      </w:r>
      <w:r w:rsidR="00A96FB6">
        <w:fldChar w:fldCharType="begin" w:fldLock="1"/>
      </w:r>
      <w:r w:rsidR="00F74B6B">
        <w:instrText>ADDIN CSL_CITATION {"citationItems":[{"id":"ITEM-1","itemData":{"DOI":"10.1056/NEJMoa1506348","ISSN":"1533-4406","PMID":"26308596","abstract":"BACKGROUND Multiple myeloma cells uniformly overexpress CD38. We studied daratumumab, a CD38-targeting, human IgG1κ monoclonal antibody, in a phase 1-2 trial involving patients with relapsed myeloma or relapsed myeloma that was refractory to two or more prior lines of therapy. METHODS In part 1, the dose-escalation phase, we administered daratumumab at doses of 0.005 to 24 mg per kilogram of body weight. In part 2, the dose-expansion phase, 30 patients received 8 mg per kilogram of daratumumab and 42 received 16 mg per kilogram, administered once weekly (8 doses), twice monthly (8 doses), and monthly for up to 24 months. End points included safety, efficacy, and pharmacokinetics. RESULTS No maximum tolerated dose was identified in part 1. In part 2, the median time since diagnosis was 5.7 years. Patients had received a median of four prior treatments; 79% of the patients had disease that was refractory to the last therapy received (64% had disease refractory to proteasome inhibitors and immunomodulatory drugs and 64% had disease refractory to bortezomib and lenalidomide), and 76% had received autologous stem-cell transplants. Infusion-related reactions in part 2 were mild (71% of patients had an event of any grade, and 1% had an event of grade 3), with no dose-dependent adverse events. The most common adverse events of grade 3 or 4 (in ≥ 5% of patients) were pneumonia and thrombocytopenia. The overall response rate was 36% in the cohort that received 16 mg per kilogram (15 patients had a partial response or better, including 2 with a complete response and 2 with a very good partial response) and 10% in the cohort that received 8 mg per kilogram (3 had a partial response). In the cohort that received 16 mg per kilogram, the median progression-free survival was 5.6 months (95% confidence interval [CI], 4.2 to 8.1), and 65% (95% CI, 28 to 86) of the patients who had a response did not have progression at 12 months. CONCLUSIONS Daratumumab monotherapy had a favorable safety profile and encouraging efficacy in patients with heavily pretreated and refractory myeloma. (Funded by Janssen Research and Development and Genmab; ClinicalTrials.gov number, NCT00574288.).","author":[{"dropping-particle":"","family":"Lokhorst","given":"Henk M","non-dropping-particle":"","parse-names":false,"suffix":""},{"dropping-particle":"","family":"Plesner","given":"Torben","non-dropping-particle":"","parse-names":false,"suffix":""},{"dropping-particle":"","family":"Laubach","given":"Jacob P","non-dropping-particle":"","parse-names":false,"suffix":""},{"dropping-particle":"","family":"Nahi","given":"Hareth","non-dropping-particle":"","parse-names":false,"suffix":""},{"dropping-particle":"","family":"Gimsing","given":"Peter","non-dropping-particle":"","parse-names":false,"suffix":""},{"dropping-particle":"","family":"Hansson","given":"Markus","non-dropping-particle":"","parse-names":false,"suffix":""},{"dropping-particle":"","family":"Minnema","given":"Monique C","non-dropping-particle":"","parse-names":false,"suffix":""},{"dropping-particle":"","family":"Lassen","given":"Ulrik","non-dropping-particle":"","parse-names":false,"suffix":""},{"dropping-particle":"","family":"Krejcik","given":"Jakub","non-dropping-particle":"","parse-names":false,"suffix":""},{"dropping-particle":"","family":"Palumbo","given":"Antonio","non-dropping-particle":"","parse-names":false,"suffix":""},{"dropping-particle":"","family":"Donk","given":"Niels W C J","non-dropping-particle":"van de","parse-names":false,"suffix":""},{"dropping-particle":"","family":"Ahmadi","given":"Tahamtan","non-dropping-particle":"","parse-names":false,"suffix":""},{"dropping-particle":"","family":"Khan","given":"Imran","non-dropping-particle":"","parse-names":false,"suffix":""},{"dropping-particle":"","family":"Uhlar","given":"Clarissa M","non-dropping-particle":"","parse-names":false,"suffix":""},{"dropping-particle":"","family":"Wang","given":"Jianping","non-dropping-particle":"","parse-names":false,"suffix":""},{"dropping-particle":"","family":"Sasser","given":"A Kate","non-dropping-particle":"","parse-names":false,"suffix":""},{"dropping-particle":"","family":"Losic","given":"Nedjad","non-dropping-particle":"","parse-names":false,"suffix":""},{"dropping-particle":"","family":"Lisby","given":"Steen","non-dropping-particle":"","parse-names":false,"suffix":""},{"dropping-particle":"","family":"Basse","given":"Linda","non-dropping-particle":"","parse-names":false,"suffix":""},{"dropping-particle":"","family":"Brun","given":"Nikolai","non-dropping-particle":"","parse-names":false,"suffix":""},{"dropping-particle":"","family":"Richardson","given":"Paul G","non-dropping-particle":"","parse-names":false,"suffix":""}],"container-title":"The New England journal of medicine","id":"ITEM-1","issue":"13","issued":{"date-parts":[["2015","9","24"]]},"page":"1207-19","title":"Targeting CD38 with Daratumumab Monotherapy in Multiple Myeloma.","type":"article-journal","volume":"373"},"uris":["http://www.mendeley.com/documents/?uuid=a85ca09c-7df4-31f2-b664-6c5d1d05c57c"]},{"id":"ITEM-2","itemData":{"DOI":"10.1016/S0140-6736(15)01120-4","ISSN":"1474547X","abstract":"Background New treatment options are needed for patients with multiple myeloma that is refractory to proteasome inhibitors and immunomodulatory drugs. We assessed daratumumab, a novel CD38-targeted monoclonal antibody, in patients with refractory multiple myeloma. Methods In this open-label, multicentre, phase 2 trial done in Canada, Spain, and the USA, patients (age ≥18 years) with multiple myeloma who were previously treated with at least three lines of therapy (including proteasome inhibitors and immunomodulatory drugs), or were refractory to both proteasome inhibitors and immunomodulatory drugs, were randomly allocated in a 1:1 ratio to receive intravenous daratumumab 8 mg/kg or 16 mg/kg in part 1 stage 1 of the study, to decide the dose for further assessment in part 2. Patients received 8 mg/kg every 4 weeks, or 16 mg/kg per week for 8 weeks (cycles 1 and 2), then every 2 weeks for 16 weeks (cycles 3-6), and then every 4 weeks thereafter (cycle 7 and higher). The allocation schedule was computer-generated and randomisation, with permuted blocks, was done centrally with an interactive web response system. In part 1 stage 2 and part 2, patients received 16 mg/kg dosed as in part 1 stage 1. The primary endpoint was overall response rate (partial response [PR] + very good PR + complete response [CR] + stringent CR). All patients who received at least one dose of daratumumab were included in the analysis. The trial is registered with ClinicalTrials.gov, number NCT01985126. Findings The study is ongoing. In part 1 stage 1 of the study, 18 patients were randomly allocated to the 8 mg/kg group and 16 to the 16 mg/kg group. Findings are reported for the 106 patients who received daratumumab 16 mg/kg in parts 1 and 2. Patients received a median of five previous lines of therapy (range 2-14). 85 (80%) patients had previously received autologous stem cell transplantation, 101 (95%) were refractory to the most recent proteasome inhibitors and immunomodulatory drugs used, and 103 (97%) were refractory to the last line of therapy. Overall responses were noted in 31 patients (29·2%, 95% CI 20·8-38·9) - three (2·8%, 0·6-8·0) had a stringent CR, ten (9·4%, 4·6-16·7) had a very good PR, and 18 (17·0%, 10·4-25·5) had a PR. The median time to first response was 1·0 month (range 0·9-5·6). Median duration of response was 7·4 months (95% CI 5·5-not estimable) and progression-free survival was 3·7 months (95% CI 2·8-4·6). The 12-month overall survival was 64·8% (95% CI 51…","author":[{"dropping-particle":"","family":"Lonial","given":"Sagar","non-dropping-particle":"","parse-names":false,"suffix":""},{"dropping-particle":"","family":"Weiss","given":"Brendan M.","non-dropping-particle":"","parse-names":false,"suffix":""},{"dropping-particle":"","family":"Usmani","given":"Saad Z.","non-dropping-particle":"","parse-names":false,"suffix":""},{"dropping-particle":"","family":"Singhal","given":"Seema","non-dropping-particle":"","parse-names":false,"suffix":""},{"dropping-particle":"","family":"Chari","given":"Ajai","non-dropping-particle":"","parse-names":false,"suffix":""},{"dropping-particle":"","family":"Bahlis","given":"Nizar J.","non-dropping-particle":"","parse-names":false,"suffix":""},{"dropping-particle":"","family":"Belch","given":"Andrew","non-dropping-particle":"","parse-names":false,"suffix":""},{"dropping-particle":"","family":"Krishnan","given":"Amrita","non-dropping-particle":"","parse-names":false,"suffix":""},{"dropping-particle":"","family":"Vescio","given":"Robert A.","non-dropping-particle":"","parse-names":false,"suffix":""},{"dropping-particle":"","family":"Mateos","given":"Maria Victoria","non-dropping-particle":"","parse-names":false,"suffix":""},{"dropping-particle":"","family":"Mazumder","given":"Amitabha","non-dropping-particle":"","parse-names":false,"suffix":""},{"dropping-particle":"","family":"Orlowski","given":"Robert Z.","non-dropping-particle":"","parse-names":false,"suffix":""},{"dropping-particle":"","family":"Sutherland","given":"Heather J.","non-dropping-particle":"","parse-names":false,"suffix":""},{"dropping-particle":"","family":"Bladé","given":"Joan","non-dropping-particle":"","parse-names":false,"suffix":""},{"dropping-particle":"","family":"Scott","given":"Emma C.","non-dropping-particle":"","parse-names":false,"suffix":""},{"dropping-particle":"","family":"Oriol","given":"Albert","non-dropping-particle":"","parse-names":false,"suffix":""},{"dropping-particle":"","family":"Berdeja","given":"Jesus","non-dropping-particle":"","parse-names":false,"suffix":""},{"dropping-particle":"","family":"Gharibo","given":"Mecide","non-dropping-particle":"","parse-names":false,"suffix":""},{"dropping-particle":"","family":"Stevens","given":"Don A.","non-dropping-particle":"","parse-names":false,"suffix":""},{"dropping-particle":"","family":"Leblanc","given":"Richard","non-dropping-particle":"","parse-names":false,"suffix":""},{"dropping-particle":"","family":"Sebag","given":"Michael","non-dropping-particle":"","parse-names":false,"suffix":""},{"dropping-particle":"","family":"Callander","given":"Natalie","non-dropping-particle":"","parse-names":false,"suffix":""},{"dropping-particle":"","family":"Jakubowiak","given":"Andrzej","non-dropping-particle":"","parse-names":false,"suffix":""},{"dropping-particle":"","family":"White","given":"Darrell","non-dropping-particle":"","parse-names":false,"suffix":""},{"dropping-particle":"","family":"La Rubia","given":"Javier","non-dropping-particle":"De","parse-names":false,"suffix":""},{"dropping-particle":"","family":"Richardson","given":"Paul G.","non-dropping-particle":"","parse-names":false,"suffix":""},{"dropping-particle":"","family":"Lisby","given":"Steen","non-dropping-particle":"","parse-names":false,"suffix":""},{"dropping-particle":"","family":"Feng","given":"Huaibao","non-dropping-particle":"","parse-names":false,"suffix":""},{"dropping-particle":"","family":"Uhlar","given":"Clarissa M.","non-dropping-particle":"","parse-names":false,"suffix":""},{"dropping-particle":"","family":"Khan","given":"Imran","non-dropping-particle":"","parse-names":false,"suffix":""},{"dropping-particle":"","family":"Ahmadi","given":"Tahamtan","non-dropping-particle":"","parse-names":false,"suffix":""},{"dropping-particle":"","family":"Voorhees","given":"Peter M.","non-dropping-particle":"","parse-names":false,"suffix":""}],"container-title":"The Lancet","id":"ITEM-2","issue":"10027","issued":{"date-parts":[["2016","4","9"]]},"page":"1551-1560","publisher":"Lancet Publishing Group","title":"Daratumumab monotherapy in patients with treatment-refractory multiple myeloma (SIRIUS): An open-label, randomised, phase 2 trial","type":"article-journal","volume":"387"},"uris":["http://www.mendeley.com/documents/?uuid=5e02dc22-bbb8-33a8-9133-7012835ce425"]}],"mendeley":{"formattedCitation":"[64,65]","plainTextFormattedCitation":"[64,65]","previouslyFormattedCitation":"[64,65]"},"properties":{"noteIndex":0},"schema":"https://github.com/citation-style-language/schema/raw/master/csl-citation.json"}</w:instrText>
      </w:r>
      <w:r w:rsidR="00A96FB6">
        <w:fldChar w:fldCharType="separate"/>
      </w:r>
      <w:r w:rsidR="00705691" w:rsidRPr="00705691">
        <w:rPr>
          <w:noProof/>
        </w:rPr>
        <w:t>[64,65]</w:t>
      </w:r>
      <w:r w:rsidR="00A96FB6">
        <w:fldChar w:fldCharType="end"/>
      </w:r>
      <w:r w:rsidR="00B15365">
        <w:t>.</w:t>
      </w:r>
    </w:p>
    <w:p w:rsidR="00023729" w:rsidRPr="00E34F40" w:rsidRDefault="00023729" w:rsidP="00131E36">
      <w:pPr>
        <w:pStyle w:val="a5"/>
        <w:spacing w:before="0" w:after="0"/>
        <w:ind w:left="709"/>
        <w:rPr>
          <w:b/>
        </w:rPr>
      </w:pPr>
      <w:r w:rsidRPr="00912FAC">
        <w:rPr>
          <w:b/>
        </w:rPr>
        <w:t xml:space="preserve">Уровень убедительности рекомендаций </w:t>
      </w:r>
      <w:r w:rsidR="00616C15">
        <w:rPr>
          <w:b/>
        </w:rPr>
        <w:t xml:space="preserve">− </w:t>
      </w:r>
      <w:r w:rsidR="005B2EF9">
        <w:rPr>
          <w:b/>
          <w:lang w:val="en-US"/>
        </w:rPr>
        <w:t>C</w:t>
      </w:r>
      <w:r w:rsidR="005B2EF9" w:rsidRPr="00286688">
        <w:rPr>
          <w:b/>
        </w:rPr>
        <w:t xml:space="preserve"> </w:t>
      </w:r>
      <w:r w:rsidRPr="00912FAC">
        <w:rPr>
          <w:b/>
        </w:rPr>
        <w:t>(уровень достоверности доказательств</w:t>
      </w:r>
      <w:r w:rsidR="00286688" w:rsidRPr="00286688">
        <w:rPr>
          <w:b/>
        </w:rPr>
        <w:t xml:space="preserve"> </w:t>
      </w:r>
      <w:r w:rsidR="00616C15">
        <w:rPr>
          <w:b/>
        </w:rPr>
        <w:t xml:space="preserve">− </w:t>
      </w:r>
      <w:r w:rsidR="005B2EF9" w:rsidRPr="00267DE2">
        <w:rPr>
          <w:b/>
        </w:rPr>
        <w:t>4</w:t>
      </w:r>
      <w:r w:rsidRPr="00912FAC">
        <w:rPr>
          <w:b/>
        </w:rPr>
        <w:t>)</w:t>
      </w:r>
    </w:p>
    <w:p w:rsidR="00023729" w:rsidRDefault="00023729" w:rsidP="00E36DFA">
      <w:pPr>
        <w:pStyle w:val="a3"/>
        <w:spacing w:before="0" w:beforeAutospacing="0" w:after="0" w:afterAutospacing="0" w:line="360" w:lineRule="auto"/>
        <w:ind w:left="709"/>
        <w:contextualSpacing/>
        <w:jc w:val="both"/>
        <w:rPr>
          <w:i/>
        </w:rPr>
      </w:pPr>
      <w:r w:rsidRPr="00912FAC">
        <w:rPr>
          <w:b/>
        </w:rPr>
        <w:t xml:space="preserve">Комментарий: </w:t>
      </w:r>
      <w:r w:rsidR="00616C15">
        <w:rPr>
          <w:i/>
        </w:rPr>
        <w:t>э</w:t>
      </w:r>
      <w:r w:rsidR="00BC4092" w:rsidRPr="00BC4092">
        <w:rPr>
          <w:i/>
        </w:rPr>
        <w:t>ффективность монотерапии даратумумабом</w:t>
      </w:r>
      <w:r w:rsidR="00B15365">
        <w:rPr>
          <w:i/>
        </w:rPr>
        <w:t>**</w:t>
      </w:r>
      <w:r w:rsidR="00BC4092" w:rsidRPr="00BC4092">
        <w:rPr>
          <w:i/>
        </w:rPr>
        <w:t xml:space="preserve"> была показана в двух клинических исследованиях SIRIUS и GEN501. По объединенным данным этих исследований</w:t>
      </w:r>
      <w:r w:rsidR="00616C15">
        <w:rPr>
          <w:i/>
        </w:rPr>
        <w:t>,</w:t>
      </w:r>
      <w:r w:rsidR="00BC4092" w:rsidRPr="00BC4092">
        <w:rPr>
          <w:i/>
        </w:rPr>
        <w:t xml:space="preserve"> общая эффективность лечения даратумумабом</w:t>
      </w:r>
      <w:r w:rsidR="00B15365">
        <w:rPr>
          <w:i/>
        </w:rPr>
        <w:t>**</w:t>
      </w:r>
      <w:r w:rsidR="00BC4092" w:rsidRPr="00BC4092">
        <w:rPr>
          <w:i/>
        </w:rPr>
        <w:t xml:space="preserve"> у </w:t>
      </w:r>
      <w:r w:rsidR="00FB03BB" w:rsidRPr="00FB03BB">
        <w:rPr>
          <w:i/>
        </w:rPr>
        <w:t>пациентов</w:t>
      </w:r>
      <w:r w:rsidR="00BC4092" w:rsidRPr="00BC4092">
        <w:rPr>
          <w:i/>
        </w:rPr>
        <w:t xml:space="preserve"> с рецидивирующей и рефрактерной к ингибиторам протеасом и иммуномодулирующим препаратам ММ, получивших массивную терапию, составила 31</w:t>
      </w:r>
      <w:r w:rsidR="00522C8E">
        <w:rPr>
          <w:i/>
        </w:rPr>
        <w:t> </w:t>
      </w:r>
      <w:r w:rsidR="00BC4092" w:rsidRPr="00BC4092">
        <w:rPr>
          <w:i/>
        </w:rPr>
        <w:t>%, медиана длительности сохранения ответа на терапию – 7,5 мес, медиана ОВ – 20,1 мес. При достижении стабилизации заболевания или минимального клинического ответа отмечено повышение показателя ОВ до 18</w:t>
      </w:r>
      <w:r w:rsidR="00522C8E">
        <w:rPr>
          <w:i/>
        </w:rPr>
        <w:t> </w:t>
      </w:r>
      <w:r w:rsidR="00BC4092" w:rsidRPr="00BC4092">
        <w:rPr>
          <w:i/>
        </w:rPr>
        <w:t>мес; 36,5</w:t>
      </w:r>
      <w:r w:rsidR="00522C8E">
        <w:rPr>
          <w:i/>
        </w:rPr>
        <w:t> </w:t>
      </w:r>
      <w:r w:rsidR="00BC4092" w:rsidRPr="00BC4092">
        <w:rPr>
          <w:i/>
        </w:rPr>
        <w:t>% пациентов оставались живы в течение 3 лет после начала терапии даратумумабом</w:t>
      </w:r>
      <w:r w:rsidR="00B15365">
        <w:rPr>
          <w:i/>
        </w:rPr>
        <w:t>**</w:t>
      </w:r>
      <w:r w:rsidR="00BC4092" w:rsidRPr="00BC4092">
        <w:rPr>
          <w:i/>
        </w:rPr>
        <w:t>. Переносимость даратумумаба</w:t>
      </w:r>
      <w:r w:rsidR="00B15365">
        <w:rPr>
          <w:i/>
        </w:rPr>
        <w:t>**</w:t>
      </w:r>
      <w:r w:rsidR="00BC4092" w:rsidRPr="00BC4092">
        <w:rPr>
          <w:i/>
        </w:rPr>
        <w:t xml:space="preserve"> была удовлетворительной. Среди нежелательных явлений 3</w:t>
      </w:r>
      <w:r w:rsidR="00522C8E">
        <w:rPr>
          <w:i/>
        </w:rPr>
        <w:t>-й</w:t>
      </w:r>
      <w:r w:rsidR="00BC4092" w:rsidRPr="00BC4092">
        <w:rPr>
          <w:i/>
        </w:rPr>
        <w:t xml:space="preserve"> степени и выше наиболее частыми были анемия (17,6</w:t>
      </w:r>
      <w:r w:rsidR="002E6956">
        <w:rPr>
          <w:i/>
        </w:rPr>
        <w:t> </w:t>
      </w:r>
      <w:r w:rsidR="00BC4092" w:rsidRPr="00BC4092">
        <w:rPr>
          <w:i/>
        </w:rPr>
        <w:t>%), тромбоцитопения (14,2</w:t>
      </w:r>
      <w:r w:rsidR="002E6956">
        <w:rPr>
          <w:i/>
        </w:rPr>
        <w:t> </w:t>
      </w:r>
      <w:r w:rsidR="00BC4092" w:rsidRPr="00BC4092">
        <w:rPr>
          <w:i/>
        </w:rPr>
        <w:t>%) и нейтропения (10,1</w:t>
      </w:r>
      <w:r w:rsidR="002E6956">
        <w:rPr>
          <w:i/>
        </w:rPr>
        <w:t> </w:t>
      </w:r>
      <w:r w:rsidR="00BC4092" w:rsidRPr="00BC4092">
        <w:rPr>
          <w:i/>
        </w:rPr>
        <w:t>%). Инфузионные реакции развились у 48</w:t>
      </w:r>
      <w:r w:rsidR="002E6956">
        <w:rPr>
          <w:i/>
        </w:rPr>
        <w:t> </w:t>
      </w:r>
      <w:r w:rsidR="00BC4092" w:rsidRPr="00BC4092">
        <w:rPr>
          <w:i/>
        </w:rPr>
        <w:t xml:space="preserve">% </w:t>
      </w:r>
      <w:r w:rsidR="00FB03BB" w:rsidRPr="00FB03BB">
        <w:rPr>
          <w:i/>
        </w:rPr>
        <w:t>пациентов</w:t>
      </w:r>
      <w:r w:rsidR="00BC4092" w:rsidRPr="00BC4092">
        <w:rPr>
          <w:i/>
        </w:rPr>
        <w:t>, в большинстве случаев 1</w:t>
      </w:r>
      <w:r w:rsidR="002E6956">
        <w:rPr>
          <w:i/>
        </w:rPr>
        <w:t>−</w:t>
      </w:r>
      <w:r w:rsidR="00BC4092" w:rsidRPr="00BC4092">
        <w:rPr>
          <w:i/>
        </w:rPr>
        <w:t>2</w:t>
      </w:r>
      <w:r w:rsidR="002E6956">
        <w:rPr>
          <w:i/>
        </w:rPr>
        <w:t>-й</w:t>
      </w:r>
      <w:r w:rsidR="00BC4092" w:rsidRPr="00BC4092">
        <w:rPr>
          <w:i/>
        </w:rPr>
        <w:t xml:space="preserve"> степени. С целью снижения риска возникновения инфузионных реакций все пациенты должны получать премедикацию примерно за </w:t>
      </w:r>
      <w:r w:rsidR="002E6956">
        <w:rPr>
          <w:i/>
        </w:rPr>
        <w:t xml:space="preserve">1 </w:t>
      </w:r>
      <w:r w:rsidR="00BC4092" w:rsidRPr="00BC4092">
        <w:rPr>
          <w:i/>
        </w:rPr>
        <w:t>ч</w:t>
      </w:r>
      <w:r w:rsidR="002E6956">
        <w:rPr>
          <w:i/>
        </w:rPr>
        <w:t xml:space="preserve"> </w:t>
      </w:r>
      <w:r w:rsidR="00BC4092" w:rsidRPr="00BC4092">
        <w:rPr>
          <w:i/>
        </w:rPr>
        <w:t>до каждой инфузии даратумумаба</w:t>
      </w:r>
      <w:r w:rsidR="00B15365">
        <w:rPr>
          <w:i/>
        </w:rPr>
        <w:t>**</w:t>
      </w:r>
      <w:r w:rsidR="00BC4092" w:rsidRPr="00BC4092">
        <w:rPr>
          <w:i/>
        </w:rPr>
        <w:t>: кортикостероиды (в/в), жаропонижающий препарат (энтерально), антигистаминный препарат (в/в или энтерально).</w:t>
      </w:r>
    </w:p>
    <w:p w:rsidR="00EA6A32" w:rsidRDefault="00EA6A32" w:rsidP="002F2D5C">
      <w:pPr>
        <w:pStyle w:val="a5"/>
        <w:numPr>
          <w:ilvl w:val="0"/>
          <w:numId w:val="9"/>
        </w:numPr>
        <w:tabs>
          <w:tab w:val="clear" w:pos="348"/>
          <w:tab w:val="num" w:pos="709"/>
        </w:tabs>
        <w:spacing w:before="0" w:after="0"/>
        <w:ind w:left="709" w:hanging="709"/>
      </w:pPr>
      <w:r>
        <w:t xml:space="preserve">Пациентам </w:t>
      </w:r>
      <w:r w:rsidRPr="00E34F40">
        <w:t>с</w:t>
      </w:r>
      <w:r w:rsidR="00B15365">
        <w:t xml:space="preserve"> рецидивом ММ</w:t>
      </w:r>
      <w:r w:rsidRPr="00E34F40">
        <w:t>, которые раньше получали терапию инги</w:t>
      </w:r>
      <w:r w:rsidR="00610FE7" w:rsidRPr="00E34F40">
        <w:t>биторами</w:t>
      </w:r>
      <w:r w:rsidRPr="00E34F40">
        <w:t xml:space="preserve"> проте</w:t>
      </w:r>
      <w:r w:rsidR="000C2F12">
        <w:t>а</w:t>
      </w:r>
      <w:r w:rsidRPr="00E34F40">
        <w:t>сом и леналидомид</w:t>
      </w:r>
      <w:r w:rsidR="00610FE7" w:rsidRPr="00E34F40">
        <w:t>ом</w:t>
      </w:r>
      <w:r w:rsidR="00B15365">
        <w:t>**</w:t>
      </w:r>
      <w:r w:rsidRPr="00E34F40">
        <w:t xml:space="preserve"> и у которых наблюдалось прогрессирование заболевания на фоне предшествующей</w:t>
      </w:r>
      <w:r>
        <w:t xml:space="preserve"> терапии, в качестве одн</w:t>
      </w:r>
      <w:r w:rsidR="00277FD3">
        <w:t>ой из возможных опций</w:t>
      </w:r>
      <w:r w:rsidR="000A156C">
        <w:t xml:space="preserve"> </w:t>
      </w:r>
      <w:r w:rsidR="00277FD3">
        <w:rPr>
          <w:b/>
        </w:rPr>
        <w:t>рекомендуется</w:t>
      </w:r>
      <w:r w:rsidR="000A156C">
        <w:rPr>
          <w:b/>
        </w:rPr>
        <w:t xml:space="preserve"> </w:t>
      </w:r>
      <w:r>
        <w:t>монотерапия</w:t>
      </w:r>
      <w:r w:rsidR="009D3B20">
        <w:t xml:space="preserve"> </w:t>
      </w:r>
      <w:r>
        <w:t xml:space="preserve">карфилзомибом** </w:t>
      </w:r>
      <w:r w:rsidR="00032CFB">
        <w:t xml:space="preserve">(описание режимов – см. приложение </w:t>
      </w:r>
      <w:r w:rsidR="00C812D6">
        <w:t>А3.1</w:t>
      </w:r>
      <w:r w:rsidR="007D4DCB">
        <w:t>.</w:t>
      </w:r>
      <w:r w:rsidR="00032CFB">
        <w:t>)</w:t>
      </w:r>
      <w:r w:rsidR="00286688" w:rsidRPr="00286688">
        <w:t xml:space="preserve"> </w:t>
      </w:r>
      <w:r w:rsidR="00A96FB6">
        <w:fldChar w:fldCharType="begin" w:fldLock="1"/>
      </w:r>
      <w:r w:rsidR="00F74B6B">
        <w:instrText>ADDIN CSL_CITATION {"citationItems":[{"id":"ITEM-1","itemData":{"DOI":"10.18632/oncotarget.25281","ISSN":"19492553","abstract":"© Shah et al. Objective: Carfilzomib (Carf) is a second-generation proteasome inhibitor approved for patients with relapsed and/or refractory multiple myeloma (RRMM) who failed ≥ 1 prior lines of therapy. We performed a systematic review of Carf literature with meta-analysis to determine the efficacy and safety in RRMM patients. Methods: Based on literature search, we included a total of 14 eligible phase I/ II, phase II and phase III Carf based clinical trials. The cumulative incidence and odds ratios (OR) were calculated with random effect model, using ''R'' software with metaphor package. Results: 2906 evaluable RRMM patients from published clinical trials included. The pooled overall response rate (ORR) was 45% (95% CI: 29-62). The pooled clinical benefit rate (CBR) was 56% (95% CI: 41-71). OR from 3 randomized clinical trials showed that Carf significantly improved ORR and CBR compared to control groups (OR 2.4, P &lt; 0.0001; 2.02, P = 0.0007, respectively). Subgroup analysis showed significantly better ORR (P &lt; 0.0001) and CBR (P &lt; 0.001) with combination regimens compared to monotherapy. Response was significantly higher with high dose of Carf (&gt; 20/27 mg/m2) compared to standard dose (ORR 65% vs. 35%, P = 0.03). Compared to control group, the OR of developing cardiotoxicity (P = 0.002) and hypertension (P &lt; 0.0001) were significantly higher with Carf, while no difference in peripheral neuropathy (P = 0.28). Conclusions: Carf produces significantly better responses with acceptable safety profile in RRMM patients. Combination regimens and higher dose Carf offers better response with no significant extra toxicity. Its efficacy is regardless of cytogenetics or disease stage. Incidences of cardiotoxicity and hypertension seem higher with Carf.","author":[{"dropping-particle":"","family":"Shah","given":"Chintan","non-dropping-particle":"","parse-names":false,"suffix":""},{"dropping-particle":"","family":"Bishnoi","given":"Rohit","non-dropping-particle":"","parse-names":false,"suffix":""},{"dropping-particle":"","family":"Wang","given":"Yu","non-dropping-particle":"","parse-names":false,"suffix":""},{"dropping-particle":"","family":"Zou","given":"Fei","non-dropping-particle":"","parse-names":false,"suffix":""},{"dropping-particle":"","family":"Bejjanki","given":"Harini","non-dropping-particle":"","parse-names":false,"suffix":""},{"dropping-particle":"","family":"Master","given":"Samip","non-dropping-particle":"","parse-names":false,"suffix":""},{"dropping-particle":"","family":"Moreb","given":"Jan S.","non-dropping-particle":"","parse-names":false,"suffix":""}],"container-title":"Oncotarget","id":"ITEM-1","issue":"34","issued":{"date-parts":[["2018","5","1"]]},"page":"23704-23717","publisher":"Impact Journals LLC","title":"Efficacy and safety of carfilzomib in relapsed and/or refractory multiple myeloma: Systematic review and meta-analysis of 14 trials","type":"article-journal","volume":"9"},"uris":["http://www.mendeley.com/documents/?uuid=7eecef4a-18ac-3907-997e-dffa8592d14d"]}],"mendeley":{"formattedCitation":"[61]","plainTextFormattedCitation":"[61]","previouslyFormattedCitation":"[61]"},"properties":{"noteIndex":0},"schema":"https://github.com/citation-style-language/schema/raw/master/csl-citation.json"}</w:instrText>
      </w:r>
      <w:r w:rsidR="00A96FB6">
        <w:fldChar w:fldCharType="separate"/>
      </w:r>
      <w:r w:rsidR="00705691" w:rsidRPr="00705691">
        <w:rPr>
          <w:noProof/>
        </w:rPr>
        <w:t>[61]</w:t>
      </w:r>
      <w:r w:rsidR="00A96FB6">
        <w:fldChar w:fldCharType="end"/>
      </w:r>
      <w:r w:rsidR="00B15365">
        <w:t>.</w:t>
      </w:r>
    </w:p>
    <w:p w:rsidR="0085596B" w:rsidRDefault="00EA6A32" w:rsidP="00131E36">
      <w:pPr>
        <w:pStyle w:val="a5"/>
        <w:spacing w:before="0" w:after="0"/>
        <w:ind w:left="709"/>
        <w:rPr>
          <w:b/>
        </w:rPr>
      </w:pPr>
      <w:r w:rsidRPr="00912FAC">
        <w:rPr>
          <w:b/>
        </w:rPr>
        <w:t xml:space="preserve">Уровень убедительности рекомендаций </w:t>
      </w:r>
      <w:r w:rsidR="007D4DCB">
        <w:rPr>
          <w:b/>
        </w:rPr>
        <w:t xml:space="preserve">− </w:t>
      </w:r>
      <w:r w:rsidR="00BD6788">
        <w:rPr>
          <w:b/>
          <w:lang w:val="en-US"/>
        </w:rPr>
        <w:t>A</w:t>
      </w:r>
      <w:r w:rsidR="000A156C">
        <w:rPr>
          <w:b/>
        </w:rPr>
        <w:t xml:space="preserve"> </w:t>
      </w:r>
      <w:r w:rsidRPr="00912FAC">
        <w:rPr>
          <w:b/>
        </w:rPr>
        <w:t>(уровень достоверности доказательств</w:t>
      </w:r>
      <w:r w:rsidR="000A156C">
        <w:rPr>
          <w:b/>
        </w:rPr>
        <w:t xml:space="preserve"> </w:t>
      </w:r>
      <w:r w:rsidR="007D4DCB">
        <w:rPr>
          <w:b/>
        </w:rPr>
        <w:t xml:space="preserve">− </w:t>
      </w:r>
      <w:r w:rsidR="00BD6788" w:rsidRPr="00E34F40">
        <w:rPr>
          <w:b/>
        </w:rPr>
        <w:t>2</w:t>
      </w:r>
      <w:r w:rsidRPr="00912FAC">
        <w:rPr>
          <w:b/>
        </w:rPr>
        <w:t>)</w:t>
      </w:r>
    </w:p>
    <w:p w:rsidR="0038589B" w:rsidRPr="0085596B" w:rsidRDefault="0038589B" w:rsidP="002F2D5C">
      <w:pPr>
        <w:pStyle w:val="a5"/>
        <w:numPr>
          <w:ilvl w:val="0"/>
          <w:numId w:val="11"/>
        </w:numPr>
        <w:spacing w:before="0" w:after="0"/>
        <w:ind w:left="709" w:hanging="709"/>
        <w:rPr>
          <w:b/>
        </w:rPr>
      </w:pPr>
      <w:r>
        <w:t>Отдельным пациентам с</w:t>
      </w:r>
      <w:r w:rsidR="00B15365">
        <w:t xml:space="preserve"> рецидивом ММ</w:t>
      </w:r>
      <w:r>
        <w:t>, которым не могут быть назначены современные таргетные препараты, в качестве одн</w:t>
      </w:r>
      <w:r w:rsidR="00277FD3">
        <w:t xml:space="preserve">ой из возможных опций </w:t>
      </w:r>
      <w:r w:rsidR="00277FD3">
        <w:rPr>
          <w:b/>
        </w:rPr>
        <w:t>рекомендуется</w:t>
      </w:r>
      <w:r w:rsidR="00286688" w:rsidRPr="00286688">
        <w:rPr>
          <w:b/>
        </w:rPr>
        <w:t xml:space="preserve"> </w:t>
      </w:r>
      <w:r w:rsidRPr="00E34F40">
        <w:t>традиционная противомиеломная</w:t>
      </w:r>
      <w:r w:rsidR="00286688" w:rsidRPr="00286688">
        <w:t xml:space="preserve"> </w:t>
      </w:r>
      <w:r w:rsidRPr="00E34F40">
        <w:t xml:space="preserve">полихимиотерапия (режим </w:t>
      </w:r>
      <w:r w:rsidRPr="0085596B">
        <w:rPr>
          <w:lang w:val="en-US"/>
        </w:rPr>
        <w:lastRenderedPageBreak/>
        <w:t>VMVP</w:t>
      </w:r>
      <w:r w:rsidRPr="00E34F40">
        <w:t xml:space="preserve">, режим </w:t>
      </w:r>
      <w:r w:rsidRPr="0085596B">
        <w:rPr>
          <w:lang w:val="en-US"/>
        </w:rPr>
        <w:t>M</w:t>
      </w:r>
      <w:r w:rsidRPr="00E34F40">
        <w:t>2</w:t>
      </w:r>
      <w:r w:rsidR="009E099B" w:rsidRPr="00E34F40">
        <w:t xml:space="preserve">, режимы </w:t>
      </w:r>
      <w:r w:rsidR="009E099B" w:rsidRPr="0085596B">
        <w:rPr>
          <w:lang w:val="en-US"/>
        </w:rPr>
        <w:t>DHAP</w:t>
      </w:r>
      <w:r w:rsidR="009E099B" w:rsidRPr="00E34F40">
        <w:t xml:space="preserve">, </w:t>
      </w:r>
      <w:r w:rsidR="009E099B" w:rsidRPr="0085596B">
        <w:rPr>
          <w:lang w:val="en-US"/>
        </w:rPr>
        <w:t>DCEP</w:t>
      </w:r>
      <w:r w:rsidR="00141FB9" w:rsidRPr="00E34F40">
        <w:t xml:space="preserve">, </w:t>
      </w:r>
      <w:r w:rsidR="00141FB9" w:rsidRPr="0085596B">
        <w:rPr>
          <w:lang w:val="en-US"/>
        </w:rPr>
        <w:t>VD</w:t>
      </w:r>
      <w:r w:rsidR="00141FB9" w:rsidRPr="00E34F40">
        <w:t>-</w:t>
      </w:r>
      <w:r w:rsidR="00141FB9" w:rsidRPr="0085596B">
        <w:rPr>
          <w:lang w:val="en-US"/>
        </w:rPr>
        <w:t>PACE</w:t>
      </w:r>
      <w:r w:rsidR="00E27D31">
        <w:t xml:space="preserve">; </w:t>
      </w:r>
      <w:r w:rsidR="00032CFB">
        <w:t xml:space="preserve">описание режимов – см. приложение </w:t>
      </w:r>
      <w:r w:rsidR="00C812D6">
        <w:t>А3.1</w:t>
      </w:r>
      <w:r w:rsidR="00E27D31">
        <w:t>.</w:t>
      </w:r>
      <w:r w:rsidR="00032CFB">
        <w:t>)</w:t>
      </w:r>
      <w:r w:rsidR="00286688" w:rsidRPr="00286688">
        <w:t xml:space="preserve"> </w:t>
      </w:r>
      <w:r w:rsidR="00A96FB6">
        <w:fldChar w:fldCharType="begin" w:fldLock="1"/>
      </w:r>
      <w:r w:rsidR="00286688">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286688" w:rsidRPr="00286688">
        <w:rPr>
          <w:noProof/>
        </w:rPr>
        <w:t>[1]</w:t>
      </w:r>
      <w:r w:rsidR="00A96FB6">
        <w:fldChar w:fldCharType="end"/>
      </w:r>
      <w:r w:rsidR="00B15365">
        <w:t>.</w:t>
      </w:r>
    </w:p>
    <w:p w:rsidR="0038589B" w:rsidRDefault="0038589B" w:rsidP="00131E36">
      <w:pPr>
        <w:pStyle w:val="a5"/>
        <w:spacing w:before="0" w:after="0"/>
        <w:ind w:left="709"/>
        <w:rPr>
          <w:b/>
        </w:rPr>
      </w:pPr>
      <w:r w:rsidRPr="00912FAC">
        <w:rPr>
          <w:b/>
        </w:rPr>
        <w:t xml:space="preserve">Уровень убедительности рекомендаций </w:t>
      </w:r>
      <w:r w:rsidR="00E27D31">
        <w:rPr>
          <w:b/>
        </w:rPr>
        <w:t xml:space="preserve">− </w:t>
      </w:r>
      <w:r w:rsidR="00BD6788">
        <w:rPr>
          <w:b/>
          <w:lang w:val="en-US"/>
        </w:rPr>
        <w:t>C</w:t>
      </w:r>
      <w:r w:rsidR="000A156C">
        <w:rPr>
          <w:b/>
        </w:rPr>
        <w:t xml:space="preserve"> </w:t>
      </w:r>
      <w:r w:rsidRPr="00912FAC">
        <w:rPr>
          <w:b/>
        </w:rPr>
        <w:t>(уровень достоверности доказательств</w:t>
      </w:r>
      <w:r w:rsidR="000A156C">
        <w:rPr>
          <w:b/>
        </w:rPr>
        <w:t xml:space="preserve"> </w:t>
      </w:r>
      <w:r w:rsidR="00E27D31">
        <w:rPr>
          <w:b/>
        </w:rPr>
        <w:t xml:space="preserve">− </w:t>
      </w:r>
      <w:r w:rsidR="00BD6788" w:rsidRPr="0038589B">
        <w:rPr>
          <w:b/>
        </w:rPr>
        <w:t>5</w:t>
      </w:r>
      <w:r w:rsidRPr="00912FAC">
        <w:rPr>
          <w:b/>
        </w:rPr>
        <w:t>)</w:t>
      </w:r>
    </w:p>
    <w:p w:rsidR="0038589B" w:rsidRDefault="0038589B" w:rsidP="002F2D5C">
      <w:pPr>
        <w:pStyle w:val="a5"/>
        <w:numPr>
          <w:ilvl w:val="0"/>
          <w:numId w:val="9"/>
        </w:numPr>
        <w:tabs>
          <w:tab w:val="clear" w:pos="348"/>
          <w:tab w:val="num" w:pos="709"/>
        </w:tabs>
        <w:spacing w:before="0" w:after="0"/>
        <w:ind w:left="709" w:hanging="709"/>
      </w:pPr>
      <w:r>
        <w:t>Пациентам с</w:t>
      </w:r>
      <w:r w:rsidR="00B15365">
        <w:t xml:space="preserve"> рецидивом ММ</w:t>
      </w:r>
      <w:r>
        <w:t xml:space="preserve"> </w:t>
      </w:r>
      <w:r w:rsidRPr="00BA7503">
        <w:t>старше 80 лет</w:t>
      </w:r>
      <w:r>
        <w:t xml:space="preserve"> и/или с плохим физическим состоянием с паллиативной цел</w:t>
      </w:r>
      <w:r w:rsidR="00277FD3">
        <w:t>ью</w:t>
      </w:r>
      <w:r w:rsidR="000A156C">
        <w:t xml:space="preserve"> </w:t>
      </w:r>
      <w:r w:rsidR="00277FD3">
        <w:rPr>
          <w:b/>
        </w:rPr>
        <w:t>рекомендуется</w:t>
      </w:r>
      <w:r>
        <w:t xml:space="preserve"> терапия </w:t>
      </w:r>
      <w:r w:rsidRPr="0038589B">
        <w:t>циклофосфамид</w:t>
      </w:r>
      <w:r>
        <w:t>ом</w:t>
      </w:r>
      <w:r w:rsidR="00B15365">
        <w:t>**</w:t>
      </w:r>
      <w:r w:rsidRPr="0038589B">
        <w:t xml:space="preserve"> по 50 мг внутрь ежедневно или через день в сочетании с преднизолоном</w:t>
      </w:r>
      <w:r w:rsidR="00B15365">
        <w:t>**</w:t>
      </w:r>
      <w:r w:rsidRPr="0038589B">
        <w:t xml:space="preserve"> по 30 мг через день или дексаметазоном</w:t>
      </w:r>
      <w:r w:rsidR="00B15365">
        <w:t>**</w:t>
      </w:r>
      <w:r w:rsidRPr="0038589B">
        <w:t xml:space="preserve"> по 20 мг внутрь 1 раз в неделю</w:t>
      </w:r>
      <w:r w:rsidR="0094380E">
        <w:t xml:space="preserve"> </w:t>
      </w:r>
      <w:r w:rsidR="00FD2995">
        <w:t xml:space="preserve">(описание режимов – см. приложение </w:t>
      </w:r>
      <w:r w:rsidR="00C812D6">
        <w:t>А3.1</w:t>
      </w:r>
      <w:r w:rsidR="0094380E">
        <w:t>.</w:t>
      </w:r>
      <w:r w:rsidR="00FD2995">
        <w:t>)</w:t>
      </w:r>
      <w:r w:rsidR="00286688">
        <w:t xml:space="preserve"> </w:t>
      </w:r>
      <w:r w:rsidR="00A96FB6">
        <w:fldChar w:fldCharType="begin" w:fldLock="1"/>
      </w:r>
      <w:r w:rsidR="009D0748">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286688" w:rsidRPr="00286688">
        <w:rPr>
          <w:noProof/>
        </w:rPr>
        <w:t>[1]</w:t>
      </w:r>
      <w:r w:rsidR="00A96FB6">
        <w:fldChar w:fldCharType="end"/>
      </w:r>
      <w:r w:rsidR="00B15365">
        <w:t>.</w:t>
      </w:r>
    </w:p>
    <w:p w:rsidR="0038589B" w:rsidRDefault="0038589B" w:rsidP="00131E36">
      <w:pPr>
        <w:pStyle w:val="a5"/>
        <w:spacing w:before="0" w:after="0"/>
        <w:ind w:left="709"/>
        <w:rPr>
          <w:b/>
        </w:rPr>
      </w:pPr>
      <w:r w:rsidRPr="00912FAC">
        <w:rPr>
          <w:b/>
        </w:rPr>
        <w:t xml:space="preserve">Уровень убедительности рекомендаций </w:t>
      </w:r>
      <w:r w:rsidR="0094380E">
        <w:rPr>
          <w:b/>
        </w:rPr>
        <w:t xml:space="preserve">− </w:t>
      </w:r>
      <w:r w:rsidR="00BD6788">
        <w:rPr>
          <w:b/>
          <w:lang w:val="en-US"/>
        </w:rPr>
        <w:t>C</w:t>
      </w:r>
      <w:r w:rsidR="000A156C">
        <w:rPr>
          <w:b/>
        </w:rPr>
        <w:t xml:space="preserve"> </w:t>
      </w:r>
      <w:r w:rsidRPr="00912FAC">
        <w:rPr>
          <w:b/>
        </w:rPr>
        <w:t>(уровень достоверности доказательств</w:t>
      </w:r>
      <w:r w:rsidR="009A45EF" w:rsidRPr="009A45EF">
        <w:rPr>
          <w:b/>
        </w:rPr>
        <w:t xml:space="preserve"> </w:t>
      </w:r>
      <w:r w:rsidR="0094380E">
        <w:rPr>
          <w:b/>
        </w:rPr>
        <w:t xml:space="preserve">− </w:t>
      </w:r>
      <w:r w:rsidR="00BD6788" w:rsidRPr="0038589B">
        <w:rPr>
          <w:b/>
        </w:rPr>
        <w:t>5</w:t>
      </w:r>
      <w:r w:rsidRPr="00912FAC">
        <w:rPr>
          <w:b/>
        </w:rPr>
        <w:t>)</w:t>
      </w:r>
    </w:p>
    <w:p w:rsidR="00D02CBC" w:rsidRPr="002B3E87" w:rsidRDefault="00B15365" w:rsidP="002F2D5C">
      <w:pPr>
        <w:pStyle w:val="a5"/>
        <w:numPr>
          <w:ilvl w:val="0"/>
          <w:numId w:val="9"/>
        </w:numPr>
        <w:tabs>
          <w:tab w:val="clear" w:pos="348"/>
          <w:tab w:val="num" w:pos="709"/>
        </w:tabs>
        <w:spacing w:before="0" w:after="0"/>
        <w:ind w:left="709" w:hanging="709"/>
      </w:pPr>
      <w:r w:rsidRPr="002B3E87">
        <w:t xml:space="preserve">Пациентам </w:t>
      </w:r>
      <w:r w:rsidR="0094380E">
        <w:t xml:space="preserve">с </w:t>
      </w:r>
      <w:r w:rsidRPr="002B3E87">
        <w:t>ММ</w:t>
      </w:r>
      <w:r w:rsidR="00D02CBC" w:rsidRPr="002B3E87">
        <w:t xml:space="preserve"> с цитопенией в качестве одн</w:t>
      </w:r>
      <w:r w:rsidR="00277FD3">
        <w:t>ой из возможных опций</w:t>
      </w:r>
      <w:r w:rsidR="000A156C">
        <w:t xml:space="preserve"> </w:t>
      </w:r>
      <w:r w:rsidR="00277FD3">
        <w:rPr>
          <w:b/>
        </w:rPr>
        <w:t xml:space="preserve">рекомендуется </w:t>
      </w:r>
      <w:r w:rsidR="00D02CBC" w:rsidRPr="002B3E87">
        <w:t>монотерапия</w:t>
      </w:r>
      <w:r w:rsidR="000A156C">
        <w:t xml:space="preserve"> </w:t>
      </w:r>
      <w:r w:rsidR="00D02CBC" w:rsidRPr="002B3E87">
        <w:t>дексаметазоном</w:t>
      </w:r>
      <w:r w:rsidR="00403D5F" w:rsidRPr="002B3E87">
        <w:t>**</w:t>
      </w:r>
      <w:r w:rsidR="00D02CBC" w:rsidRPr="002B3E87">
        <w:t xml:space="preserve"> в высоких дозах</w:t>
      </w:r>
      <w:r w:rsidR="001C2BAD" w:rsidRPr="002B3E87">
        <w:t xml:space="preserve"> (описание режимов – см. приложение </w:t>
      </w:r>
      <w:r w:rsidR="00C812D6">
        <w:t>А3.1</w:t>
      </w:r>
      <w:r w:rsidR="0094380E">
        <w:t>.</w:t>
      </w:r>
      <w:r w:rsidR="001C2BAD" w:rsidRPr="002B3E87">
        <w:t>) – 4 цикла, либо до восстановления показателей крови</w:t>
      </w:r>
      <w:r w:rsidR="009D0748">
        <w:t xml:space="preserve"> </w:t>
      </w:r>
      <w:r w:rsidR="00A96FB6">
        <w:fldChar w:fldCharType="begin" w:fldLock="1"/>
      </w:r>
      <w:r w:rsidR="0081352B">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9D0748" w:rsidRPr="009D0748">
        <w:rPr>
          <w:noProof/>
        </w:rPr>
        <w:t>[1]</w:t>
      </w:r>
      <w:r w:rsidR="00A96FB6">
        <w:fldChar w:fldCharType="end"/>
      </w:r>
      <w:r w:rsidR="001C2BAD" w:rsidRPr="002B3E87">
        <w:t xml:space="preserve">. </w:t>
      </w:r>
    </w:p>
    <w:p w:rsidR="00D02CBC" w:rsidRDefault="00D02CBC" w:rsidP="00131E36">
      <w:pPr>
        <w:pStyle w:val="a5"/>
        <w:spacing w:before="0" w:after="0"/>
        <w:ind w:left="709"/>
        <w:rPr>
          <w:b/>
        </w:rPr>
      </w:pPr>
      <w:r w:rsidRPr="00912FAC">
        <w:rPr>
          <w:b/>
        </w:rPr>
        <w:t xml:space="preserve">Уровень убедительности рекомендаций </w:t>
      </w:r>
      <w:r w:rsidR="00C21ADD">
        <w:rPr>
          <w:b/>
        </w:rPr>
        <w:t xml:space="preserve">− </w:t>
      </w:r>
      <w:r w:rsidR="00BD6788">
        <w:rPr>
          <w:b/>
          <w:lang w:val="en-US"/>
        </w:rPr>
        <w:t>C</w:t>
      </w:r>
      <w:r w:rsidR="009D0748">
        <w:rPr>
          <w:b/>
        </w:rPr>
        <w:t xml:space="preserve"> </w:t>
      </w:r>
      <w:r w:rsidRPr="00912FAC">
        <w:rPr>
          <w:b/>
        </w:rPr>
        <w:t>(уровень достоверности доказательств</w:t>
      </w:r>
      <w:r w:rsidR="009D0748">
        <w:rPr>
          <w:b/>
        </w:rPr>
        <w:t xml:space="preserve"> </w:t>
      </w:r>
      <w:r w:rsidR="00C21ADD">
        <w:rPr>
          <w:b/>
        </w:rPr>
        <w:t xml:space="preserve">− </w:t>
      </w:r>
      <w:r w:rsidR="00BD6788" w:rsidRPr="0038589B">
        <w:rPr>
          <w:b/>
        </w:rPr>
        <w:t>5</w:t>
      </w:r>
      <w:r w:rsidRPr="00912FAC">
        <w:rPr>
          <w:b/>
        </w:rPr>
        <w:t>)</w:t>
      </w:r>
    </w:p>
    <w:p w:rsidR="009A45EF" w:rsidRDefault="009A45EF" w:rsidP="002F2D5C">
      <w:pPr>
        <w:pStyle w:val="a5"/>
        <w:numPr>
          <w:ilvl w:val="0"/>
          <w:numId w:val="9"/>
        </w:numPr>
        <w:tabs>
          <w:tab w:val="clear" w:pos="348"/>
          <w:tab w:val="num" w:pos="709"/>
        </w:tabs>
        <w:spacing w:before="0" w:after="0"/>
        <w:ind w:left="709" w:hanging="709"/>
      </w:pPr>
      <w:r>
        <w:t>Пациентам с ММ</w:t>
      </w:r>
      <w:r w:rsidRPr="009A45EF">
        <w:t xml:space="preserve"> </w:t>
      </w:r>
      <w:r>
        <w:t xml:space="preserve">с неконтролируемым болевым синдромом, при угрозах патологического перелома или при компрессии спинного мозга </w:t>
      </w:r>
      <w:r>
        <w:rPr>
          <w:b/>
        </w:rPr>
        <w:t>рекомендуется</w:t>
      </w:r>
      <w:r w:rsidRPr="00286688">
        <w:rPr>
          <w:b/>
        </w:rPr>
        <w:t xml:space="preserve"> </w:t>
      </w:r>
      <w:r>
        <w:rPr>
          <w:bCs/>
        </w:rPr>
        <w:t xml:space="preserve">рассмотреть применение дистанционной лучевой терапии с паллиативной целью </w:t>
      </w:r>
      <w:r w:rsidR="00A96FB6">
        <w:rPr>
          <w:bCs/>
        </w:rPr>
        <w:fldChar w:fldCharType="begin" w:fldLock="1"/>
      </w:r>
      <w:r w:rsidR="00F74B6B">
        <w:rPr>
          <w:bCs/>
        </w:rPr>
        <w:instrText>ADDIN CSL_CITATION {"citationItems":[{"id":"ITEM-1","itemData":{"DOI":"10.1016/j.ijrobp.2018.05.009","ISSN":"1879-355X","PMID":"29976492","abstract":"PURPOSE To develop guidelines for the work-up and radiation therapy (RT) management of patients with plasma cell neoplasms. METHODS AND MATERIALS A literature review was conducted covering staging, work-up, and RT management of plasma cell neoplasms. Guidelines were developed through consensus by an international panel of radiation oncologists with expertise in these diseases, from the International Lymphoma Radiation Oncology Group. RT volume definitions are based on the International Commission on Radiation Units and Measurements. RESULTS Plasma cell neoplasms account for approximately one-fifth of mature B-cell neoplasms in the United States. The majority (</w:instrText>
      </w:r>
      <w:r w:rsidR="00F74B6B">
        <w:rPr>
          <w:rFonts w:ascii="Cambria Math" w:hAnsi="Cambria Math" w:cs="Cambria Math"/>
          <w:bCs/>
        </w:rPr>
        <w:instrText>∼</w:instrText>
      </w:r>
      <w:r w:rsidR="00F74B6B">
        <w:rPr>
          <w:bCs/>
        </w:rPr>
        <w:instrText>95%) are diagnosed as multiple myeloma, in which there has been tremendous progress in systemic therapy approaches with novel drugs over the last 2 decades, resulting in improvements in disease control and survival. In contrast, a small proportion of patients with plasma cell neoplasms present with a localized plasmacytoma in the bone, or in extramedullary (extraosseous) soft tissues, and definitive RT is the standard treatment. RT provides long-term local control in the solitary bone plasmacytomas and is potentially curative in the extramedullary cases. This guideline reviews the diagnostic work-up, principles, and indications for RT, target volume definition, treatment planning, and follow-up procedures for solitary plasmacytoma. Specifically, detailed recommendations for RT volumes and dose/fractionation are provided, illustrated with specific case scenarios. The role of palliative RT in multiple myeloma is also discussed. CONCLUSIONS The International Lymphoma Radiation Oncology Group presents a standardized approach to the use and implementation of definitive RT in solitary plasmacytomas. The modern principles outlining the supportive role of palliative RT in multiple myeloma in an era of novel systemic therapies are also discussed.","author":[{"dropping-particle":"","family":"Tsang","given":"Richard W","non-dropping-particle":"","parse-names":false,"suffix":""},{"dropping-particle":"","family":"Campbell","given":"Belinda A","non-dropping-particle":"","parse-names":false,"suffix":""},{"dropping-particle":"","family":"Goda","given":"Jayant S","non-dropping-particle":"","parse-names":false,"suffix":""},{"dropping-particle":"","family":"Kelsey","given":"Chris R","non-dropping-particle":"","parse-names":false,"suffix":""},{"dropping-particle":"","family":"Kirova","given":"Youlia M","non-dropping-particle":"","parse-names":false,"suffix":""},{"dropping-particle":"","family":"Parikh","given":"Rahul R","non-dropping-particle":"","parse-names":false,"suffix":""},{"dropping-particle":"","family":"Ng","given":"Andrea K","non-dropping-particle":"","parse-names":false,"suffix":""},{"dropping-particle":"","family":"Ricardi","given":"Umberto","non-dropping-particle":"","parse-names":false,"suffix":""},{"dropping-particle":"","family":"Suh","given":"Chang-Ok","non-dropping-particle":"","parse-names":false,"suffix":""},{"dropping-particle":"","family":"Mauch","given":"Peter M","non-dropping-particle":"","parse-names":false,"suffix":""},{"dropping-particle":"","family":"Specht","given":"Lena","non-dropping-particle":"","parse-names":false,"suffix":""},{"dropping-particle":"","family":"Yahalom","given":"Joachim","non-dropping-particle":"","parse-names":false,"suffix":""}],"container-title":"International journal of radiation oncology, biology, physics","id":"ITEM-1","issue":"4","issued":{"date-parts":[["2018"]]},"page":"794-808","title":"Radiation Therapy for Solitary Plasmacytoma and Multiple Myeloma: Guidelines From the International Lymphoma Radiation Oncology Group.","type":"article-journal","volume":"101"},"uris":["http://www.mendeley.com/documents/?uuid=f4bfe628-ea0d-3a70-ad32-a87028222960"]},{"id":"ITEM-2","itemData":{"DOI":"10.3389/fonc.2019.00601","ISSN":"2234-943X","PMID":"31334121","abstract":"Purpose: The objective of this study was to assess a contemporary cohort of patients with multiple myeloma referred for palliative radiation to the mobile spine for clinical and radiological responses. Materials/Methods: The records of patients treated between 2009 and 2016 with radiotherapy for multiple myeloma of the spine were retrospectively reviewed. Demographics, systemic therapy, radiation dose, number of fractions, radiographic response based upon adapted RECIST criteria, and symptomatic response were recorded. Results: Eighty eight patients and 98 treatment courses were analyzed. All courses were analyzed for symptomatic response and 61 of the treatment courses were available for radiologic follow-up. The median follow-up was 9.7 months with a median radiation dose of 25 Gy (12.5-50 Gy) delivered in a median of 10 fractions (5-25 fractions). Fifty-four percent of patients had a high-risk lesion. Symptomatic response as measured by a decrease of ≤5 points on the pain related scale was 83% and 34% of patients had a decrease of &gt;5 points. Of 35% of patients that had neurologic impairments prior to treatment, improvement was identified 83% of the time. Radiographic response was noted as 13% complete response, 16% partial response, 57% stable disease, and 13% disease progression. Specifically, high-risk lesions treated with radiation alone demonstrated no regression with only 10% demonstrating partial response. Conclusion: This retrospective series of patients treated with palliative intent for multiple myeloma using various dose and fractionation schemes showed favorable symptomatic relief in most patients. Radiographic response did not correlate with clinical response with fewer patients having radiologic disease regression. Longer follow-up is necessary to determine if the lack of radiologic response is associated with clinically relevant recurrent pain.","author":[{"dropping-particle":"","family":"Mark","given":"Daniel","non-dropping-particle":"","parse-names":false,"suffix":""},{"dropping-particle":"","family":"Gilbo","given":"Philip","non-dropping-particle":"","parse-names":false,"suffix":""},{"dropping-particle":"","family":"Meshrekey","given":"Raymond","non-dropping-particle":"","parse-names":false,"suffix":""},{"dropping-particle":"","family":"Ghaly","given":"Maged","non-dropping-particle":"","parse-names":false,"suffix":""}],"container-title":"Frontiers in oncology","id":"ITEM-2","issued":{"date-parts":[["2019"]]},"page":"601","title":"Local Radiation Therapy for Palliation in Patients With Multiple Myeloma of the Spine.","type":"article-journal","volume":"9"},"uris":["http://www.mendeley.com/documents/?uuid=16895ece-dab7-3031-ba13-5908f14424ab"]}],"mendeley":{"formattedCitation":"[66,67]","plainTextFormattedCitation":"[66,67]","previouslyFormattedCitation":"[66,67]"},"properties":{"noteIndex":0},"schema":"https://github.com/citation-style-language/schema/raw/master/csl-citation.json"}</w:instrText>
      </w:r>
      <w:r w:rsidR="00A96FB6">
        <w:rPr>
          <w:bCs/>
        </w:rPr>
        <w:fldChar w:fldCharType="separate"/>
      </w:r>
      <w:r w:rsidR="00705691" w:rsidRPr="00705691">
        <w:rPr>
          <w:bCs/>
          <w:noProof/>
        </w:rPr>
        <w:t>[66,67]</w:t>
      </w:r>
      <w:r w:rsidR="00A96FB6">
        <w:rPr>
          <w:bCs/>
        </w:rPr>
        <w:fldChar w:fldCharType="end"/>
      </w:r>
      <w:r>
        <w:t>.</w:t>
      </w:r>
    </w:p>
    <w:p w:rsidR="009A45EF" w:rsidRPr="00E34F40" w:rsidRDefault="009A45EF" w:rsidP="009A45EF">
      <w:pPr>
        <w:pStyle w:val="a5"/>
        <w:spacing w:before="0" w:after="0"/>
        <w:ind w:left="709"/>
        <w:rPr>
          <w:b/>
        </w:rPr>
      </w:pPr>
      <w:r w:rsidRPr="00912FAC">
        <w:rPr>
          <w:b/>
        </w:rPr>
        <w:t xml:space="preserve">Уровень убедительности рекомендаций </w:t>
      </w:r>
      <w:r w:rsidR="00C21ADD">
        <w:rPr>
          <w:b/>
        </w:rPr>
        <w:t xml:space="preserve">− </w:t>
      </w:r>
      <w:r>
        <w:rPr>
          <w:b/>
          <w:lang w:val="en-US"/>
        </w:rPr>
        <w:t>C</w:t>
      </w:r>
      <w:r w:rsidRPr="00286688">
        <w:rPr>
          <w:b/>
        </w:rPr>
        <w:t xml:space="preserve"> </w:t>
      </w:r>
      <w:r w:rsidRPr="00912FAC">
        <w:rPr>
          <w:b/>
        </w:rPr>
        <w:t>(уровень достоверности доказательств</w:t>
      </w:r>
      <w:r w:rsidRPr="00286688">
        <w:rPr>
          <w:b/>
        </w:rPr>
        <w:t xml:space="preserve"> </w:t>
      </w:r>
      <w:r w:rsidR="00C21ADD">
        <w:rPr>
          <w:b/>
        </w:rPr>
        <w:t xml:space="preserve">− </w:t>
      </w:r>
      <w:r w:rsidRPr="009A45EF">
        <w:rPr>
          <w:b/>
        </w:rPr>
        <w:t>5</w:t>
      </w:r>
      <w:r w:rsidRPr="00912FAC">
        <w:rPr>
          <w:b/>
        </w:rPr>
        <w:t>)</w:t>
      </w:r>
    </w:p>
    <w:p w:rsidR="009A45EF" w:rsidRDefault="009A45EF" w:rsidP="009A45EF">
      <w:pPr>
        <w:pStyle w:val="a5"/>
        <w:spacing w:before="0" w:after="0"/>
        <w:ind w:left="709"/>
        <w:rPr>
          <w:bCs/>
          <w:i/>
          <w:iCs/>
        </w:rPr>
      </w:pPr>
      <w:r w:rsidRPr="00912FAC">
        <w:rPr>
          <w:b/>
        </w:rPr>
        <w:t>Комментарий:</w:t>
      </w:r>
      <w:r>
        <w:rPr>
          <w:b/>
        </w:rPr>
        <w:t xml:space="preserve"> </w:t>
      </w:r>
      <w:r>
        <w:rPr>
          <w:bCs/>
          <w:i/>
          <w:iCs/>
        </w:rPr>
        <w:t xml:space="preserve">режим </w:t>
      </w:r>
      <w:r w:rsidR="00C21ADD">
        <w:rPr>
          <w:bCs/>
          <w:i/>
          <w:iCs/>
        </w:rPr>
        <w:t>лучевой терапии</w:t>
      </w:r>
      <w:r>
        <w:rPr>
          <w:bCs/>
          <w:i/>
          <w:iCs/>
        </w:rPr>
        <w:t xml:space="preserve"> определяется клинической ситуацией, соматическим состоянием </w:t>
      </w:r>
      <w:r w:rsidR="00534E54">
        <w:rPr>
          <w:bCs/>
          <w:i/>
          <w:iCs/>
        </w:rPr>
        <w:t>пациента</w:t>
      </w:r>
      <w:r>
        <w:rPr>
          <w:bCs/>
          <w:i/>
          <w:iCs/>
        </w:rPr>
        <w:t xml:space="preserve">: </w:t>
      </w:r>
      <w:r w:rsidR="00C21ADD">
        <w:rPr>
          <w:bCs/>
          <w:i/>
          <w:iCs/>
        </w:rPr>
        <w:t>разовая очаговая доза</w:t>
      </w:r>
      <w:r w:rsidRPr="009A45EF">
        <w:rPr>
          <w:bCs/>
          <w:i/>
          <w:iCs/>
        </w:rPr>
        <w:t xml:space="preserve"> 8 Гр однократно или </w:t>
      </w:r>
      <w:r w:rsidR="007279FD">
        <w:rPr>
          <w:bCs/>
          <w:i/>
          <w:iCs/>
        </w:rPr>
        <w:t xml:space="preserve">разовая очаговая доза </w:t>
      </w:r>
      <w:r w:rsidRPr="009A45EF">
        <w:rPr>
          <w:bCs/>
          <w:i/>
          <w:iCs/>
        </w:rPr>
        <w:t xml:space="preserve">2,0–3,0 Гр до </w:t>
      </w:r>
      <w:r w:rsidR="007279FD">
        <w:rPr>
          <w:bCs/>
          <w:i/>
          <w:iCs/>
        </w:rPr>
        <w:t>суммарной очаговой дозы</w:t>
      </w:r>
      <w:r w:rsidRPr="009A45EF">
        <w:rPr>
          <w:bCs/>
          <w:i/>
          <w:iCs/>
        </w:rPr>
        <w:t xml:space="preserve"> 10</w:t>
      </w:r>
      <w:r w:rsidR="007279FD">
        <w:rPr>
          <w:bCs/>
          <w:i/>
          <w:iCs/>
        </w:rPr>
        <w:t>−</w:t>
      </w:r>
      <w:r w:rsidRPr="009A45EF">
        <w:rPr>
          <w:bCs/>
          <w:i/>
          <w:iCs/>
        </w:rPr>
        <w:t>30 Гр</w:t>
      </w:r>
      <w:r>
        <w:rPr>
          <w:bCs/>
          <w:i/>
          <w:iCs/>
        </w:rPr>
        <w:t xml:space="preserve">. </w:t>
      </w:r>
      <w:r w:rsidRPr="009A45EF">
        <w:rPr>
          <w:bCs/>
          <w:i/>
          <w:iCs/>
        </w:rPr>
        <w:t xml:space="preserve">При планировании </w:t>
      </w:r>
      <w:r w:rsidR="00D71FBE">
        <w:rPr>
          <w:bCs/>
          <w:i/>
          <w:iCs/>
        </w:rPr>
        <w:t>ВДХТ</w:t>
      </w:r>
      <w:r w:rsidRPr="009A45EF">
        <w:rPr>
          <w:bCs/>
          <w:i/>
          <w:iCs/>
        </w:rPr>
        <w:t xml:space="preserve"> с последующей ауто</w:t>
      </w:r>
      <w:r>
        <w:rPr>
          <w:bCs/>
          <w:i/>
          <w:iCs/>
        </w:rPr>
        <w:t>-</w:t>
      </w:r>
      <w:r w:rsidRPr="009A45EF">
        <w:rPr>
          <w:bCs/>
          <w:i/>
          <w:iCs/>
        </w:rPr>
        <w:t>ТГСК объем лучевой терапии должен быть ограничен с учетом необходимости проведения сбора стволовых клет</w:t>
      </w:r>
      <w:r>
        <w:rPr>
          <w:bCs/>
          <w:i/>
          <w:iCs/>
        </w:rPr>
        <w:t>ок.</w:t>
      </w:r>
    </w:p>
    <w:p w:rsidR="009D0748" w:rsidRPr="00971A8A" w:rsidRDefault="009D0748" w:rsidP="00E36DFA">
      <w:pPr>
        <w:pStyle w:val="2"/>
        <w:rPr>
          <w:rStyle w:val="ab"/>
          <w:rFonts w:eastAsia="Calibri"/>
          <w:b/>
          <w:bCs w:val="0"/>
          <w:szCs w:val="22"/>
          <w:u w:val="none"/>
        </w:rPr>
      </w:pPr>
      <w:bookmarkStart w:id="33" w:name="_Toc24826823"/>
      <w:r w:rsidRPr="00971A8A">
        <w:rPr>
          <w:rStyle w:val="ab"/>
          <w:b/>
          <w:bCs w:val="0"/>
        </w:rPr>
        <w:t>3.</w:t>
      </w:r>
      <w:r w:rsidR="00077BDE" w:rsidRPr="00971A8A">
        <w:rPr>
          <w:rStyle w:val="ab"/>
          <w:b/>
          <w:bCs w:val="0"/>
        </w:rPr>
        <w:t>5</w:t>
      </w:r>
      <w:r w:rsidRPr="00971A8A">
        <w:rPr>
          <w:rStyle w:val="ab"/>
          <w:b/>
          <w:bCs w:val="0"/>
        </w:rPr>
        <w:t xml:space="preserve"> Сопроводительная терапия</w:t>
      </w:r>
      <w:bookmarkEnd w:id="33"/>
    </w:p>
    <w:p w:rsidR="009D0748" w:rsidRPr="00890289" w:rsidRDefault="009D0748" w:rsidP="00E36DFA">
      <w:pPr>
        <w:pStyle w:val="a3"/>
        <w:numPr>
          <w:ilvl w:val="0"/>
          <w:numId w:val="61"/>
        </w:numPr>
        <w:spacing w:before="0" w:beforeAutospacing="0" w:after="0" w:afterAutospacing="0" w:line="360" w:lineRule="auto"/>
        <w:contextualSpacing/>
        <w:jc w:val="both"/>
      </w:pPr>
      <w:r w:rsidRPr="00430246">
        <w:rPr>
          <w:rStyle w:val="ab"/>
          <w:b w:val="0"/>
        </w:rPr>
        <w:t xml:space="preserve">Пациентам с ММ, получающим эметогенную терапию, </w:t>
      </w:r>
      <w:r w:rsidRPr="00430246">
        <w:rPr>
          <w:rStyle w:val="ab"/>
        </w:rPr>
        <w:t>рекомендует</w:t>
      </w:r>
      <w:r w:rsidRPr="002538FD">
        <w:rPr>
          <w:rStyle w:val="ab"/>
        </w:rPr>
        <w:t xml:space="preserve">ся </w:t>
      </w:r>
      <w:r w:rsidRPr="002538FD">
        <w:t>профилактик</w:t>
      </w:r>
      <w:r w:rsidRPr="00430246">
        <w:t>а тошноты и рвоты в соответствии с существующими профильными рекомендациями</w:t>
      </w:r>
      <w:r>
        <w:t xml:space="preserve"> </w:t>
      </w:r>
      <w:r w:rsidR="00A96FB6">
        <w:fldChar w:fldCharType="begin" w:fldLock="1"/>
      </w:r>
      <w:r w:rsidR="00F74B6B">
        <w:instrText>ADDIN CSL_CITATION {"citationItems":[{"id":"ITEM-1","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онкологии.","id":"ITEM-1","issued":{"date-parts":[["2018"]]},"page":"502-511","title":"Практические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[68]","plainTextFormattedCitation":"[68]","previouslyFormattedCitation":"[68]"},"properties":{"noteIndex":0},"schema":"https://github.com/citation-style-language/schema/raw/master/csl-citation.json"}</w:instrText>
      </w:r>
      <w:r w:rsidR="00A96FB6">
        <w:fldChar w:fldCharType="separate"/>
      </w:r>
      <w:r w:rsidR="00705691" w:rsidRPr="00705691">
        <w:rPr>
          <w:noProof/>
        </w:rPr>
        <w:t>[68]</w:t>
      </w:r>
      <w:r w:rsidR="00A96FB6">
        <w:fldChar w:fldCharType="end"/>
      </w:r>
      <w:r>
        <w:t xml:space="preserve"> </w:t>
      </w:r>
      <w:r w:rsidRPr="002538FD">
        <w:t>.</w:t>
      </w:r>
    </w:p>
    <w:p w:rsidR="009D0748" w:rsidRDefault="009D0748" w:rsidP="00E36DFA">
      <w:pPr>
        <w:pStyle w:val="a3"/>
        <w:spacing w:beforeAutospacing="0" w:afterAutospacing="0" w:line="360" w:lineRule="auto"/>
        <w:ind w:firstLine="709"/>
        <w:contextualSpacing/>
        <w:jc w:val="both"/>
        <w:rPr>
          <w:rStyle w:val="ab"/>
        </w:rPr>
      </w:pPr>
      <w:r w:rsidRPr="002538FD">
        <w:rPr>
          <w:rStyle w:val="ab"/>
        </w:rPr>
        <w:lastRenderedPageBreak/>
        <w:t xml:space="preserve">Уровень убедительности рекомендаций </w:t>
      </w:r>
      <w:r w:rsidR="007279FD">
        <w:rPr>
          <w:rStyle w:val="ab"/>
        </w:rPr>
        <w:t xml:space="preserve">− </w:t>
      </w:r>
      <w:r w:rsidR="0081352B">
        <w:rPr>
          <w:rStyle w:val="ab"/>
        </w:rPr>
        <w:t>С</w:t>
      </w:r>
      <w:r w:rsidRPr="002538FD">
        <w:rPr>
          <w:rStyle w:val="ab"/>
        </w:rPr>
        <w:t xml:space="preserve"> (уровень достоверности доказательств – </w:t>
      </w:r>
      <w:r w:rsidR="0081352B">
        <w:rPr>
          <w:rStyle w:val="ab"/>
        </w:rPr>
        <w:t>5</w:t>
      </w:r>
      <w:r>
        <w:rPr>
          <w:rStyle w:val="ab"/>
        </w:rPr>
        <w:t>)</w:t>
      </w:r>
    </w:p>
    <w:p w:rsidR="00FF1FD9" w:rsidRPr="00A26662" w:rsidRDefault="00FF1FD9" w:rsidP="002F2D5C">
      <w:pPr>
        <w:pStyle w:val="a5"/>
        <w:numPr>
          <w:ilvl w:val="0"/>
          <w:numId w:val="62"/>
        </w:numPr>
        <w:ind w:left="709" w:hanging="709"/>
      </w:pPr>
      <w:r>
        <w:t xml:space="preserve">Пациентам </w:t>
      </w:r>
      <w:r>
        <w:rPr>
          <w:lang w:val="en-US"/>
        </w:rPr>
        <w:t>c</w:t>
      </w:r>
      <w:r>
        <w:t xml:space="preserve"> ММ, у которых выявляется уровень иммуноглобулина G </w:t>
      </w:r>
      <w:r w:rsidR="007279FD" w:rsidRPr="007279FD">
        <w:t>&lt;</w:t>
      </w:r>
      <w:r>
        <w:t xml:space="preserve">5 г/л и отмечаются рецидивирующие бактериальные инфекции, </w:t>
      </w:r>
      <w:r>
        <w:rPr>
          <w:b/>
        </w:rPr>
        <w:t>рекомендовано</w:t>
      </w:r>
      <w:r>
        <w:t xml:space="preserve"> при наличии возможности проведение постоянной заместительной терапии внутривенным иммуноглобулином для снижения риска инфекционных осложнений</w:t>
      </w:r>
      <w:r w:rsidR="00E51C95" w:rsidRPr="00E51C95">
        <w:t xml:space="preserve"> </w:t>
      </w:r>
      <w:r w:rsidR="00E51C95" w:rsidRPr="00A26662">
        <w:fldChar w:fldCharType="begin" w:fldLock="1"/>
      </w:r>
      <w:r w:rsidR="00F74B6B">
        <w:instrText>ADDIN CSL_CITATION {"citationItems":[{"id":"ITEM-1","itemData":{"DOI":"10.3389/fimmu.2014.00626","ISSN":"16643224","abstract":"Immunoglobulin (Ig) replacement therapy dramatically changed the clinical course of primary hypogammaglobulinemias, significantly reducing the incidence of infectious events. Over the last two decades its use has been extended to secondary antibody deficiencies, particularly those related to hematological disorders as lymphoproliferative diseases (LPDs) and multiple myeloma. In these malignancies, hypogammaglobulinemia can be an intrinsic aspect of the disease or follow chemo-immunotherapy regimens, including anti-CD20 treatment. Other than in LPDs the broadening use of immunotherapy (e.g., rituximab) and immune-suppressive therapy (steroids, sulfasalazine, and mycophenolate mofetil) has extended the occurrence of iatrogenic hypogammaglobulinemia. In particular, in both autoimmune diseases and solid organ transplantation Ig replacement therapy has been shown to reduce the rate of infectious events. Here, we review the existing literature about Ig replacement therapy in secondary hypogammaglobulinemia, with special regard for subcutaneous administration route, a safe, effective, and well-tolerated treatment approach, currently well established in primary immunodeficiencies and secondary hypogammaglobulinemias.","author":[{"dropping-particle":"","family":"Compagno","given":"Nicolò","non-dropping-particle":"","parse-names":false,"suffix":""},{"dropping-particle":"","family":"Malipiero","given":"Giacomo","non-dropping-particle":"","parse-names":false,"suffix":""},{"dropping-particle":"","family":"Cinetto","given":"Francesco","non-dropping-particle":"","parse-names":false,"suffix":""},{"dropping-particle":"","family":"Agostini","given":"Carlo","non-dropping-particle":"","parse-names":false,"suffix":""}],"container-title":"Frontiers in Immunology","id":"ITEM-1","issue":"DEC","issued":{"date-parts":[["2014"]]},"publisher":"Frontiers Media S.A.","title":"Immunoglobulin replacement therapy in secondary hypogammaglobulinemia","type":"article","volume":"5"},"uris":["http://www.mendeley.com/documents/?uuid=8b24ca24-7105-34a2-a377-64592ae36126"]},{"id":"ITEM-2","itemData":{"author":[{"dropping-particle":"","family":"Константинова","given":"Т.С.","non-dropping-particle":"","parse-names":false,"suffix":""},{"dropping-particle":"","family":"Клясова","given":"Г.А.","non-dropping-particle":"","parse-names":false,"suffix":""},{"dropping-particle":"","family":"Капланов","given":"К.Д.","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Савченко.","id":"ITEM-2","issued":{"date-parts":[["2018"]]},"page":"289-311","title":"Лечение и профилактика инфекционных осложнений у пациентов с лимфопролиферативными заболеваниями.","type":"chapter"},"uris":["http://www.mendeley.com/documents/?uuid=b8826e3f-ec9d-405b-84e4-56b1a1300212"]}],"mendeley":{"formattedCitation":"[69,70]","plainTextFormattedCitation":"[69,70]","previouslyFormattedCitation":"[69,70]"},"properties":{"noteIndex":0},"schema":"https://github.com/citation-style-language/schema/raw/master/csl-citation.json"}</w:instrText>
      </w:r>
      <w:r w:rsidR="00E51C95" w:rsidRPr="00A26662">
        <w:fldChar w:fldCharType="separate"/>
      </w:r>
      <w:r w:rsidR="00705691" w:rsidRPr="00705691">
        <w:rPr>
          <w:noProof/>
        </w:rPr>
        <w:t>[69,70]</w:t>
      </w:r>
      <w:r w:rsidR="00E51C95" w:rsidRPr="00A26662">
        <w:fldChar w:fldCharType="end"/>
      </w:r>
      <w:r w:rsidRPr="00A26662">
        <w:t xml:space="preserve">. </w:t>
      </w:r>
    </w:p>
    <w:p w:rsidR="00177503" w:rsidRDefault="00FF1FD9" w:rsidP="00FF1FD9">
      <w:pPr>
        <w:ind w:left="709"/>
        <w:rPr>
          <w:b/>
        </w:rPr>
      </w:pPr>
      <w:r w:rsidRPr="00A26662">
        <w:rPr>
          <w:b/>
        </w:rPr>
        <w:t xml:space="preserve">Уровень убедительности рекомендаций </w:t>
      </w:r>
      <w:r w:rsidR="007279FD" w:rsidRPr="00A26662">
        <w:rPr>
          <w:b/>
        </w:rPr>
        <w:t xml:space="preserve">− </w:t>
      </w:r>
      <w:r w:rsidR="00E51C95" w:rsidRPr="00A26662">
        <w:rPr>
          <w:b/>
        </w:rPr>
        <w:t xml:space="preserve">С </w:t>
      </w:r>
      <w:r w:rsidRPr="00A26662">
        <w:rPr>
          <w:b/>
        </w:rPr>
        <w:t xml:space="preserve">(уровень достоверности доказательств </w:t>
      </w:r>
      <w:r w:rsidR="007279FD" w:rsidRPr="00A26662">
        <w:rPr>
          <w:b/>
        </w:rPr>
        <w:t xml:space="preserve">− </w:t>
      </w:r>
      <w:r w:rsidR="00E51C95" w:rsidRPr="00A26662">
        <w:rPr>
          <w:b/>
        </w:rPr>
        <w:t>5</w:t>
      </w:r>
      <w:r w:rsidRPr="00A26662">
        <w:rPr>
          <w:b/>
        </w:rPr>
        <w:t>)</w:t>
      </w:r>
    </w:p>
    <w:p w:rsidR="00FF1FD9" w:rsidRPr="00E778E9" w:rsidRDefault="00177503" w:rsidP="00FF1FD9">
      <w:pPr>
        <w:ind w:left="709"/>
        <w:rPr>
          <w:b/>
          <w:u w:val="single"/>
        </w:rPr>
      </w:pPr>
      <w:r w:rsidRPr="00E778E9">
        <w:rPr>
          <w:b/>
          <w:u w:val="single"/>
        </w:rPr>
        <w:t>Обезболивание</w:t>
      </w:r>
    </w:p>
    <w:p w:rsidR="00202DE5" w:rsidRPr="00341C10" w:rsidRDefault="00202DE5" w:rsidP="00E36DFA">
      <w:pPr>
        <w:pStyle w:val="a3"/>
        <w:numPr>
          <w:ilvl w:val="0"/>
          <w:numId w:val="61"/>
        </w:numPr>
        <w:spacing w:before="0" w:beforeAutospacing="0" w:after="0" w:afterAutospacing="0" w:line="360" w:lineRule="auto"/>
        <w:contextualSpacing/>
        <w:jc w:val="both"/>
      </w:pPr>
      <w:bookmarkStart w:id="34" w:name="_Hlk18315511"/>
      <w:r>
        <w:rPr>
          <w:rStyle w:val="ab"/>
          <w:b w:val="0"/>
          <w:bCs w:val="0"/>
        </w:rPr>
        <w:t>Пациентам с ММ</w:t>
      </w:r>
      <w:r w:rsidRPr="00202DE5">
        <w:rPr>
          <w:rStyle w:val="ab"/>
          <w:b w:val="0"/>
          <w:bCs w:val="0"/>
        </w:rPr>
        <w:t xml:space="preserve"> при возникновении острого или хронического болевого синдрома </w:t>
      </w:r>
      <w:r>
        <w:rPr>
          <w:rStyle w:val="ab"/>
        </w:rPr>
        <w:t xml:space="preserve">рекомендуется </w:t>
      </w:r>
      <w:r w:rsidRPr="00202DE5">
        <w:rPr>
          <w:rStyle w:val="ab"/>
          <w:b w:val="0"/>
          <w:bCs w:val="0"/>
        </w:rPr>
        <w:t>уточнение этиологии боли; при выявлении очага воспаления – проведение необходимых мероприятий по лечению очага воспаления согласно соответствующим клиническим рекомендациям (включая при необходимости хирургическое лечение); при исключении инфекционно-воспалительной природы болевого синдрома рекомендуется проведение обезболивающ</w:t>
      </w:r>
      <w:r w:rsidR="00341C10">
        <w:rPr>
          <w:rStyle w:val="ab"/>
          <w:b w:val="0"/>
          <w:bCs w:val="0"/>
        </w:rPr>
        <w:t>ей</w:t>
      </w:r>
      <w:r w:rsidRPr="00202DE5">
        <w:rPr>
          <w:rStyle w:val="ab"/>
          <w:b w:val="0"/>
          <w:bCs w:val="0"/>
        </w:rPr>
        <w:t xml:space="preserve"> терапи</w:t>
      </w:r>
      <w:r w:rsidR="00341C10" w:rsidRPr="00341C10">
        <w:rPr>
          <w:rStyle w:val="ab"/>
          <w:b w:val="0"/>
          <w:bCs w:val="0"/>
        </w:rPr>
        <w:t>и</w:t>
      </w:r>
      <w:r w:rsidRPr="00202DE5">
        <w:rPr>
          <w:rStyle w:val="ab"/>
          <w:b w:val="0"/>
          <w:bCs w:val="0"/>
        </w:rPr>
        <w:t xml:space="preserve"> согласно существующим протоколам обезболивания (см. соответствующие  клинические рекомендации по хронической боли, клинические рекомендации по анестезиологии), в том числе по показаниям </w:t>
      </w:r>
      <w:r w:rsidR="00341C10">
        <w:rPr>
          <w:rStyle w:val="ab"/>
          <w:b w:val="0"/>
          <w:bCs w:val="0"/>
        </w:rPr>
        <w:t>−</w:t>
      </w:r>
      <w:r w:rsidRPr="00202DE5">
        <w:rPr>
          <w:rStyle w:val="ab"/>
          <w:b w:val="0"/>
          <w:bCs w:val="0"/>
        </w:rPr>
        <w:t xml:space="preserve"> с применением наркотических и психотропных лекарственных препаратов с учетом возможных противопоказаний, связанных с цитопенией, иными клиническими ситуациями</w:t>
      </w:r>
      <w:r>
        <w:rPr>
          <w:rStyle w:val="ab"/>
        </w:rPr>
        <w:t xml:space="preserve"> </w:t>
      </w:r>
      <w:r w:rsidR="00A96FB6" w:rsidRPr="00202DE5">
        <w:rPr>
          <w:rStyle w:val="ab"/>
          <w:b w:val="0"/>
        </w:rPr>
        <w:fldChar w:fldCharType="begin" w:fldLock="1"/>
      </w:r>
      <w:r w:rsidR="00F74B6B">
        <w:rPr>
          <w:rStyle w:val="ab"/>
          <w:b w:val="0"/>
        </w:rPr>
        <w:instrText>ADDIN CSL_CITATION {"citationItems":[{"id":"ITEM-1","itemData":{"author":[{"dropping-particle":"","family":"Абузарова","given":"Г.Р.","non-dropping-particle":"","parse-names":false,"suffix":""},{"dropping-particle":"","family":"Невзорова","given":"Д.В.","non-dropping-particle":"","parse-names":false,"suffix":""},{"dropping-particle":"","family":"Кумирова","given":"Э.В.","non-dropping-particle":"","parse-names":false,"suffix":""},{"dropping-particle":"","family":"Савва","given":"Н.Н.","non-dropping-particle":"","parse-names":false,"suffix":""},{"dropping-particle":"","family":"Арутюнов","given":"Г.П.","non-dropping-particle":"","parse-names":false,"suffix":""},{"dropping-particle":"","family":"Багненко","given":"С.Ф.","non-dropping-particle":"","parse-names":false,"suffix":""},{"dropping-particle":"","family":"Данилов","given":"А.Б.","non-dropping-particle":"","parse-names":false,"suffix":""},{"dropping-particle":"","family":"Данилов","given":"А.Б.","non-dropping-particle":"","parse-names":false,"suffix":""},{"dropping-particle":"","family":"Куняева","given":"Т.А.","non-dropping-particle":"","parse-names":false,"suffix":""},{"dropping-particle":"","family":"Николаева","given":"Н.М.","non-dropping-particle":"","parse-names":false,"suffix":""},{"dropping-particle":"","family":"Молчанов","given":"И.В.","non-dropping-particle":"","parse-names":false,"suffix":""},{"dropping-particle":"","family":"Падалкин","given":"В.П.","non-dropping-particle":"","parse-names":false,"suffix":""},{"dropping-particle":"","family":"Поляков","given":"В.Г.","non-dropping-particle":"","parse-names":false,"suffix":""},{"dropping-particle":"","family":"Пчелинцев","given":"М.В.","non-dropping-particle":"","parse-names":false,"suffix":""},{"dropping-particle":"","family":"Степаненко","given":"С.М.","non-dropping-particle":"","parse-names":false,"suffix":""}],"id":"ITEM-1","issued":{"date-parts":[["2016"]]},"number-of-pages":"94","publisher":"ФГБОУ ВО РНИМУ им. Н.И. Пирогова Минздрава России.","title":"Обезболивание взрослых и детей при оказании медицинской помощи. Методические рекомендации.","type":"book"},"uris":["http://www.mendeley.com/documents/?uuid=b9ffed91-f776-4e2f-87c8-ff7901014151"]}],"mendeley":{"formattedCitation":"[71]","plainTextFormattedCitation":"[71]","previouslyFormattedCitation":"[71]"},"properties":{"noteIndex":0},"schema":"https://github.com/citation-style-language/schema/raw/master/csl-citation.json"}</w:instrText>
      </w:r>
      <w:r w:rsidR="00A96FB6" w:rsidRPr="00202DE5">
        <w:rPr>
          <w:rStyle w:val="ab"/>
          <w:b w:val="0"/>
        </w:rPr>
        <w:fldChar w:fldCharType="separate"/>
      </w:r>
      <w:r w:rsidR="00705691" w:rsidRPr="00705691">
        <w:rPr>
          <w:rStyle w:val="ab"/>
          <w:b w:val="0"/>
          <w:noProof/>
        </w:rPr>
        <w:t>[71]</w:t>
      </w:r>
      <w:r w:rsidR="00A96FB6" w:rsidRPr="00202DE5">
        <w:rPr>
          <w:rStyle w:val="ab"/>
          <w:b w:val="0"/>
        </w:rPr>
        <w:fldChar w:fldCharType="end"/>
      </w:r>
      <w:r w:rsidRPr="00202DE5">
        <w:rPr>
          <w:bCs/>
        </w:rPr>
        <w:t>.</w:t>
      </w:r>
    </w:p>
    <w:p w:rsidR="00202DE5" w:rsidRDefault="00202DE5" w:rsidP="00E36DFA">
      <w:pPr>
        <w:pStyle w:val="a3"/>
        <w:spacing w:beforeAutospacing="0" w:afterAutospacing="0" w:line="360" w:lineRule="auto"/>
        <w:ind w:firstLine="709"/>
        <w:contextualSpacing/>
        <w:jc w:val="both"/>
        <w:rPr>
          <w:rStyle w:val="ab"/>
        </w:rPr>
      </w:pPr>
      <w:r w:rsidRPr="008858F0">
        <w:rPr>
          <w:rStyle w:val="ab"/>
        </w:rPr>
        <w:t xml:space="preserve">Уровень убедительности рекомендаций </w:t>
      </w:r>
      <w:r w:rsidR="00341C10">
        <w:rPr>
          <w:rStyle w:val="ab"/>
        </w:rPr>
        <w:t xml:space="preserve">− </w:t>
      </w:r>
      <w:r w:rsidRPr="008858F0">
        <w:rPr>
          <w:rStyle w:val="ab"/>
          <w:lang w:val="en-US"/>
        </w:rPr>
        <w:t>C</w:t>
      </w:r>
      <w:r w:rsidRPr="008858F0">
        <w:rPr>
          <w:rStyle w:val="ab"/>
        </w:rPr>
        <w:t xml:space="preserve"> (уровень достоверности доказательств – 5)</w:t>
      </w:r>
    </w:p>
    <w:p w:rsidR="00AE4F4E" w:rsidRPr="00E778E9" w:rsidRDefault="00AE4F4E" w:rsidP="00202DE5">
      <w:pPr>
        <w:pStyle w:val="a3"/>
        <w:spacing w:beforeAutospacing="0" w:afterAutospacing="0" w:line="360" w:lineRule="auto"/>
        <w:ind w:firstLine="709"/>
        <w:contextualSpacing/>
        <w:jc w:val="both"/>
        <w:rPr>
          <w:rStyle w:val="ab"/>
          <w:u w:val="single"/>
        </w:rPr>
      </w:pPr>
      <w:r w:rsidRPr="00E778E9">
        <w:rPr>
          <w:rStyle w:val="ab"/>
          <w:u w:val="single"/>
        </w:rPr>
        <w:t>Диетотерапия</w:t>
      </w:r>
    </w:p>
    <w:p w:rsidR="00AE4F4E" w:rsidRPr="00E778E9" w:rsidRDefault="00AE4F4E" w:rsidP="00202DE5">
      <w:pPr>
        <w:pStyle w:val="a3"/>
        <w:spacing w:beforeAutospacing="0" w:afterAutospacing="0" w:line="360" w:lineRule="auto"/>
        <w:ind w:firstLine="709"/>
        <w:contextualSpacing/>
        <w:jc w:val="both"/>
        <w:rPr>
          <w:rStyle w:val="ab"/>
          <w:b w:val="0"/>
          <w:bCs w:val="0"/>
          <w:i/>
          <w:iCs/>
        </w:rPr>
      </w:pPr>
      <w:r w:rsidRPr="00E778E9">
        <w:rPr>
          <w:rStyle w:val="ab"/>
          <w:b w:val="0"/>
          <w:bCs w:val="0"/>
          <w:i/>
          <w:iCs/>
        </w:rPr>
        <w:t>Не применяется</w:t>
      </w:r>
    </w:p>
    <w:p w:rsidR="00F63E06" w:rsidRPr="00E778E9" w:rsidRDefault="00A75A01" w:rsidP="00E36DFA">
      <w:pPr>
        <w:pStyle w:val="2"/>
        <w:rPr>
          <w:rStyle w:val="ab"/>
          <w:b/>
          <w:bCs w:val="0"/>
          <w:szCs w:val="24"/>
          <w:u w:val="none"/>
          <w:lang w:eastAsia="ru-RU"/>
        </w:rPr>
      </w:pPr>
      <w:bookmarkStart w:id="35" w:name="_Toc24826824"/>
      <w:bookmarkEnd w:id="34"/>
      <w:r w:rsidRPr="00E778E9">
        <w:rPr>
          <w:rStyle w:val="ab"/>
          <w:b/>
          <w:bCs w:val="0"/>
        </w:rPr>
        <w:t>3.</w:t>
      </w:r>
      <w:bookmarkStart w:id="36" w:name="_Hlk6482783"/>
      <w:r w:rsidR="00077BDE" w:rsidRPr="00E778E9">
        <w:rPr>
          <w:rStyle w:val="ab"/>
          <w:b/>
          <w:bCs w:val="0"/>
        </w:rPr>
        <w:t xml:space="preserve">6 </w:t>
      </w:r>
      <w:r w:rsidR="00857B1A" w:rsidRPr="00E778E9">
        <w:rPr>
          <w:rStyle w:val="ab"/>
          <w:b/>
          <w:bCs w:val="0"/>
        </w:rPr>
        <w:t>Определение эффективности лечения</w:t>
      </w:r>
      <w:bookmarkEnd w:id="35"/>
      <w:bookmarkEnd w:id="36"/>
    </w:p>
    <w:p w:rsidR="00A05B4C" w:rsidRPr="00A05B4C" w:rsidRDefault="00F2308C" w:rsidP="002F2D5C">
      <w:pPr>
        <w:pStyle w:val="a5"/>
        <w:numPr>
          <w:ilvl w:val="0"/>
          <w:numId w:val="9"/>
        </w:numPr>
        <w:tabs>
          <w:tab w:val="clear" w:pos="348"/>
          <w:tab w:val="num" w:pos="709"/>
        </w:tabs>
        <w:spacing w:before="0" w:after="0"/>
        <w:ind w:left="709" w:hanging="709"/>
      </w:pPr>
      <w:r w:rsidRPr="00430246">
        <w:t>Пациентам, завершившим запла</w:t>
      </w:r>
      <w:r w:rsidR="00403D5F" w:rsidRPr="00F239FE">
        <w:t>нированное лечение по поводу ММ</w:t>
      </w:r>
      <w:r w:rsidRPr="00F239FE">
        <w:t xml:space="preserve">, </w:t>
      </w:r>
      <w:r w:rsidR="00277FD3" w:rsidRPr="00F239FE">
        <w:rPr>
          <w:b/>
        </w:rPr>
        <w:t>рекомендуется</w:t>
      </w:r>
      <w:r w:rsidRPr="00F239FE">
        <w:t xml:space="preserve"> оценка эффекта лечения</w:t>
      </w:r>
      <w:r>
        <w:t xml:space="preserve"> согласно</w:t>
      </w:r>
      <w:r w:rsidR="000A156C">
        <w:t xml:space="preserve"> </w:t>
      </w:r>
      <w:r w:rsidR="00A05B4C" w:rsidRPr="00A05B4C">
        <w:t>международным критериям, предложенным в 2006</w:t>
      </w:r>
      <w:r w:rsidR="00403D5F">
        <w:t xml:space="preserve"> г. и модифицированным в 2011</w:t>
      </w:r>
      <w:r w:rsidR="004E145E" w:rsidRPr="004E145E">
        <w:t xml:space="preserve"> </w:t>
      </w:r>
      <w:r w:rsidR="004E145E">
        <w:t>и 2016</w:t>
      </w:r>
      <w:r w:rsidR="00403D5F">
        <w:t xml:space="preserve"> </w:t>
      </w:r>
      <w:r w:rsidR="004E145E">
        <w:t>г</w:t>
      </w:r>
      <w:r w:rsidR="00403D5F">
        <w:t>г</w:t>
      </w:r>
      <w:r w:rsidR="00277FD3">
        <w:t>. (</w:t>
      </w:r>
      <w:r w:rsidR="00253BC3">
        <w:t>см.</w:t>
      </w:r>
      <w:r w:rsidR="00E778E9">
        <w:t xml:space="preserve"> раздел 7 данных рекомендаций</w:t>
      </w:r>
      <w:r w:rsidR="00277FD3">
        <w:t>)</w:t>
      </w:r>
      <w:r w:rsidR="009E0A45" w:rsidRPr="009E0A45">
        <w:t xml:space="preserve"> </w:t>
      </w:r>
      <w:r w:rsidR="00A96FB6">
        <w:fldChar w:fldCharType="begin" w:fldLock="1"/>
      </w:r>
      <w:r w:rsidR="00F74B6B">
        <w:instrText>ADDIN CSL_CITATION {"citationItems":[{"id":"ITEM-1","itemData":{"DOI":"10.1038/sj.leu.2404284","ISSN":"14765551","abstract":"New uniform response criteria are required to adequately assess clinical outcomes in myeloma. The European Group for Blood and Bone Marrow Transplant/International Bone Marrow Transplant Registry criteria have been expanded, clarified and updated to provide a new comprehensive evaluation system. Categories for stringent complete response and very good partial response are added. The serum free light-chain assay is included to allow evaluation of patients with oligo-secretory disease. Inconsistencies in prior criteria are clarified making confirmation of response and disease progression easier to perform. Emphasis is placed upon time to event and duration of response as critical end points. The requirements necessary to use overall survival duration as the ultimate end point are discussed. It is anticipated that the International Response Criteria for multiple myeloma will be widely used in future clinical trials of myeloma.","author":[{"dropping-particle":"","family":"Durie","given":"B. G.M.","non-dropping-particle":"","parse-names":false,"suffix":""},{"dropping-particle":"","family":"Harousseau","given":"J. L.","non-dropping-particle":"","parse-names":false,"suffix":""},{"dropping-particle":"","family":"Miguel","given":"J. S.","non-dropping-particle":"","parse-names":false,"suffix":""},{"dropping-particle":"","family":"Bladé","given":"J.","non-dropping-particle":"","parse-names":false,"suffix":""},{"dropping-particle":"","family":"Barlogie","given":"B.","non-dropping-particle":"","parse-names":false,"suffix":""},{"dropping-particle":"","family":"Anderson","given":"K.","non-dropping-particle":"","parse-names":false,"suffix":""},{"dropping-particle":"","family":"Gertz","given":"M.","non-dropping-particle":"","parse-names":false,"suffix":""},{"dropping-particle":"","family":"Dimopoulos","given":"M.","non-dropping-particle":"","parse-names":false,"suffix":""},{"dropping-particle":"","family":"Westin","given":"J.","non-dropping-particle":"","parse-names":false,"suffix":""},{"dropping-particle":"","family":"Sonneveld","given":"P.","non-dropping-particle":"","parse-names":false,"suffix":""},{"dropping-particle":"","family":"Ludwig","given":"H.","non-dropping-particle":"","parse-names":false,"suffix":""},{"dropping-particle":"","family":"Gahrton","given":"G.","non-dropping-particle":"","parse-names":false,"suffix":""},{"dropping-particle":"","family":"Beksac","given":"M.","non-dropping-particle":"","parse-names":false,"suffix":""},{"dropping-particle":"","family":"Crowley","given":"J.","non-dropping-particle":"","parse-names":false,"suffix":""},{"dropping-particle":"","family":"Belch","given":"A.","non-dropping-particle":"","parse-names":false,"suffix":""},{"dropping-particle":"","family":"Boccadaro","given":"M.","non-dropping-particle":"","parse-names":false,"suffix":""},{"dropping-particle":"","family":"Cavo","given":"M.","non-dropping-particle":"","parse-names":false,"suffix":""},{"dropping-particle":"","family":"Turesson","given":"I.","non-dropping-particle":"","parse-names":false,"suffix":""},{"dropping-particle":"","family":"Joshua","given":"D.","non-dropping-particle":"","parse-names":false,"suffix":""},{"dropping-particle":"","family":"Vesole","given":"D.","non-dropping-particle":"","parse-names":false,"suffix":""},{"dropping-particle":"","family":"Kyle","given":"R.","non-dropping-particle":"","parse-names":false,"suffix":""},{"dropping-particle":"","family":"Tricot","given":"G.","non-dropping-particle":"","parse-names":false,"suffix":""},{"dropping-particle":"","family":"Alexanian","given":"R.","non-dropping-particle":"","parse-names":false,"suffix":""},{"dropping-particle":"","family":"Attal","given":"M.","non-dropping-particle":"","parse-names":false,"suffix":""},{"dropping-particle":"","family":"Merlini","given":"G.","non-dropping-particle":"","parse-names":false,"suffix":""},{"dropping-particle":"","family":"Powles","given":"R.","non-dropping-particle":"","parse-names":false,"suffix":""},{"dropping-particle":"","family":"Richardson","given":"P.","non-dropping-particle":"","parse-names":false,"suffix":""},{"dropping-particle":"","family":"Shimizu","given":"K.","non-dropping-particle":"","parse-names":false,"suffix":""},{"dropping-particle":"","family":"Tosi","given":"P.","non-dropping-particle":"","parse-names":false,"suffix":""},{"dropping-particle":"V.","family":"Rajkumar","given":"S.","non-dropping-particle":"","parse-names":false,"suffix":""},{"dropping-particle":"","family":"Morgan","given":"G.","non-dropping-particle":"","parse-names":false,"suffix":""}],"container-title":"Leukemia","id":"ITEM-1","issue":"9","issued":{"date-parts":[["2006","9","1"]]},"page":"1467-1473","publisher":"Nature Publishing Group","title":"International uniform response criteria for multiple myeloma","type":"article-journal","volume":"20"},"uris":["http://www.mendeley.com/documents/?uuid=aebf3721-d8f9-331d-a8a6-ba12b64a133b"]},{"id":"ITEM-2","itemData":{"DOI":"10.1182/blood-2010-10-299487","ISSN":"00064971","abstract":"It is essential that there be consistency in the conduct, analysis, and reporting of clinical trial results in myeloma. The goal of the International Myeloma Workshop Consensus Panel 1 was to develop a set of guidelines for the uniform reporting of clinical trial results in myeloma. This paper provides a summary of the current response criteria in myeloma, detailed definitions for patient populations, lines of therapy, and specific endpoints. We propose that future clinical trials in myeloma follow the guidelines for reporting results proposed in this manuscript.","author":[{"dropping-particle":"","family":"Rajkumar","given":"S. Vincent","non-dropping-particle":"","parse-names":false,"suffix":""},{"dropping-particle":"","family":"Harousseau","given":"Jean Luc","non-dropping-particle":"","parse-names":false,"suffix":""},{"dropping-particle":"","family":"Durie","given":"Brian","non-dropping-particle":"","parse-names":false,"suffix":""},{"dropping-particle":"","family":"Anderson","given":"Kenneth C.","non-dropping-particle":"","parse-names":false,"suffix":""},{"dropping-particle":"","family":"Dimopoulos","given":"Meletios","non-dropping-particle":"","parse-names":false,"suffix":""},{"dropping-particle":"","family":"Kyle","given":"Robert","non-dropping-particle":"","parse-names":false,"suffix":""},{"dropping-particle":"","family":"Blade","given":"Joan","non-dropping-particle":"","parse-names":false,"suffix":""},{"dropping-particle":"","family":"Richardson","given":"Paul","non-dropping-particle":"","parse-names":false,"suffix":""},{"dropping-particle":"","family":"Orlowski","given":"Robert","non-dropping-particle":"","parse-names":false,"suffix":""},{"dropping-particle":"","family":"Siegel","given":"David","non-dropping-particle":"","parse-names":false,"suffix":""},{"dropping-particle":"","family":"Jagannath","given":"Sundar","non-dropping-particle":"","parse-names":false,"suffix":""},{"dropping-particle":"","family":"Facon","given":"Thierry","non-dropping-particle":"","parse-names":false,"suffix":""},{"dropping-particle":"","family":"Avet-Loiseau","given":"Hervé","non-dropping-particle":"","parse-names":false,"suffix":""},{"dropping-particle":"","family":"Lonial","given":"Sagar","non-dropping-particle":"","parse-names":false,"suffix":""},{"dropping-particle":"","family":"Palumbo","given":"Antonio","non-dropping-particle":"","parse-names":false,"suffix":""},{"dropping-particle":"","family":"Zonder","given":"Jeffrey","non-dropping-particle":"","parse-names":false,"suffix":""},{"dropping-particle":"","family":"Ludwig","given":"Heinz","non-dropping-particle":"","parse-names":false,"suffix":""},{"dropping-particle":"","family":"Vesole","given":"David","non-dropping-particle":"","parse-names":false,"suffix":""},{"dropping-particle":"","family":"Sezer","given":"Orhan","non-dropping-particle":"","parse-names":false,"suffix":""},{"dropping-particle":"","family":"Munshi","given":"Nikhil C.","non-dropping-particle":"","parse-names":false,"suffix":""},{"dropping-particle":"","family":"San Miguel","given":"Jesus","non-dropping-particle":"","parse-names":false,"suffix":""}],"container-title":"Blood","id":"ITEM-2","issue":"18","issued":{"date-parts":[["2011","5","5"]]},"page":"4691-4695","title":"Consensus recommendations for the uniform reporting of clinical trials: Report of the International Myeloma Workshop Consensus Panel 1","type":"paper-conference","volume":"117"},"uris":["http://www.mendeley.com/documents/?uuid=0db91df9-fa07-385d-b4a7-0a85a73875a2"]},{"id":"ITEM-3","itemData":{"DOI":"10.1016/S1470-2045(16)30206-6","ISSN":"14745488","abstract":"Treatment of multiple myeloma has substantially changed over the past decade with the introduction of several classes of new effective drugs that have greatly improved the rates and depth of response. Response criteria in multiple myeloma were developed to use serum and urine assessment of monoclonal proteins and bone marrow assessment (which is relatively insensitive). Given the high rates of complete response seen in patients with multiple myeloma with new treatment approaches, new response categories need to be defined that can identify responses that are deeper than those conventionally defined as complete response. Recent attempts have focused on the identification of residual tumour cells in the bone marrow using flow cytometry or gene sequencing. Furthermore, sensitive imaging techniques can be used to detect the presence of residual disease outside of the bone marrow. Combining these new methods, the International Myeloma Working Group has defined new response categories of minimal residual disease negativity, with or without imaging-based absence of extramedullary disease, to allow uniform reporting within and outside clinical trials. In this Review, we clarify several aspects of disease response assessment, along with endpoints for clinical trials, and highlight future directions for disease response assessments.","author":[{"dropping-particle":"","family":"Kumar","given":"Shaji","non-dropping-particle":"","parse-names":false,"suffix":""},{"dropping-particle":"","family":"Paiva","given":"Bruno","non-dropping-particle":"","parse-names":false,"suffix":""},{"dropping-particle":"","family":"Anderson","given":"Kenneth C.","non-dropping-particle":"","parse-names":false,"suffix":""},{"dropping-particle":"","family":"Durie","given":"Brian","non-dropping-particle":"","parse-names":false,"suffix":""},{"dropping-particle":"","family":"Landgren","given":"Ola","non-dropping-particle":"","parse-names":false,"suffix":""},{"dropping-particle":"","family":"Moreau","given":"Philippe","non-dropping-particle":"","parse-names":false,"suffix":""},{"dropping-particle":"","family":"Munshi","given":"Nikhil","non-dropping-particle":"","parse-names":false,"suffix":""},{"dropping-particle":"","family":"Lonial","given":"Sagar","non-dropping-particle":"","parse-names":false,"suffix":""},{"dropping-particle":"","family":"Bladé","given":"Joan","non-dropping-particle":"","parse-names":false,"suffix":""},{"dropping-particle":"","family":"Mateos","given":"Maria Victoria","non-dropping-particle":"","parse-names":false,"suffix":""},{"dropping-particle":"","family":"Dimopoulos","given":"Meletios","non-dropping-particle":"","parse-names":false,"suffix":""},{"dropping-particle":"","family":"Kastritis","given":"Efstathios","non-dropping-particle":"","parse-names":false,"suffix":""},{"dropping-particle":"","family":"Boccadoro","given":"Mario","non-dropping-particle":"","parse-names":false,"suffix":""},{"dropping-particle":"","family":"Orlowski","given":"Robert","non-dropping-particle":"","parse-names":false,"suffix":""},{"dropping-particle":"","family":"Goldschmidt","given":"Hartmut","non-dropping-particle":"","parse-names":false,"suffix":""},{"dropping-particle":"","family":"Spencer","given":"Andrew","non-dropping-particle":"","parse-names":false,"suffix":""},{"dropping-particle":"","family":"Hou","given":"Jian","non-dropping-particle":"","parse-names":false,"suffix":""},{"dropping-particle":"","family":"Chng","given":"Wee Joo","non-dropping-particle":"","parse-names":false,"suffix":""},{"dropping-particle":"","family":"Usmani","given":"Saad Z.","non-dropping-particle":"","parse-names":false,"suffix":""},{"dropping-particle":"","family":"Zamagni","given":"Elena","non-dropping-particle":"","parse-names":false,"suffix":""},{"dropping-particle":"","family":"Shimizu","given":"Kazuyuki","non-dropping-particle":"","parse-names":false,"suffix":""},{"dropping-particle":"","family":"Jagannath","given":"Sundar","non-dropping-particle":"","parse-names":false,"suffix":""},{"dropping-particle":"","family":"Johnsen","given":"Hans E.","non-dropping-particle":"","parse-names":false,"suffix":""},{"dropping-particle":"","family":"Terpos","given":"Evangelos","non-dropping-particle":"","parse-names":false,"suffix":""},{"dropping-particle":"","family":"Reiman","given":"Anthony","non-dropping-particle":"","parse-names":false,"suffix":""},{"dropping-particle":"","family":"Kyle","given":"Robert A.","non-dropping-particle":"","parse-names":false,"suffix":""},{"dropping-particle":"","family":"Sonneveld","given":"Pieter","non-dropping-particle":"","parse-names":false,"suffix":""},{"dropping-particle":"","family":"Richardson","given":"Paul G.","non-dropping-particle":"","parse-names":false,"suffix":""},{"dropping-particle":"","family":"McCarthy","given":"Philip","non-dropping-particle":"","parse-names":false,"suffix":""},{"dropping-particle":"","family":"Ludwig","given":"Heinz","non-dropping-particle":"","parse-names":false,"suffix":""},{"dropping-particle":"","family":"Chen","given":"Wenming","non-dropping-particle":"","parse-names":false,"suffix":""},{"dropping-particle":"","family":"Cavo","given":"Michele","non-dropping-particle":"","parse-names":false,"suffix":""},{"dropping-particle":"","family":"Harousseau","given":"Jean Luc","non-dropping-particle":"","parse-names":false,"suffix":""},{"dropping-particle":"","family":"Lentzsch","given":"Suzanne","non-dropping-particle":"","parse-names":false,"suffix":""},{"dropping-particle":"","family":"Hillengass","given":"Jens","non-dropping-particle":"","parse-names":false,"suffix":""},{"dropping-particle":"","family":"Palumbo","given":"Antonio","non-dropping-particle":"","parse-names":false,"suffix":""},{"dropping-particle":"","family":"Orfao","given":"Alberto","non-dropping-particle":"","parse-names":false,"suffix":""},{"dropping-particle":"","family":"Rajkumar","given":"S. Vincent","non-dropping-particle":"","parse-names":false,"suffix":""},{"dropping-particle":"","family":"Miguel","given":"Jesus San","non-dropping-particle":"","parse-names":false,"suffix":""},{"dropping-particle":"","family":"Avet-Loiseau","given":"Herve","non-dropping-particle":"","parse-names":false,"suffix":""}],"container-title":"The Lancet Oncology","id":"ITEM-3","issue":"8","issued":{"date-parts":[["2016","8","1"]]},"page":"e328-e346","publisher":"Lancet Publishing Group","title":"International Myeloma Working Group consensus criteria for response and minimal residual disease assessment in multiple myeloma","type":"article","volume":"17"},"uris":["http://www.mendeley.com/documents/?uuid=530a8544-f504-385c-8004-3a945290d1b0"]}],"mendeley":{"formattedCitation":"[72–74]","plainTextFormattedCitation":"[72–74]","previouslyFormattedCitation":"[72–74]"},"properties":{"noteIndex":0},"schema":"https://github.com/citation-style-language/schema/raw/master/csl-citation.json"}</w:instrText>
      </w:r>
      <w:r w:rsidR="00A96FB6">
        <w:fldChar w:fldCharType="separate"/>
      </w:r>
      <w:r w:rsidR="00705691" w:rsidRPr="00705691">
        <w:rPr>
          <w:noProof/>
        </w:rPr>
        <w:t>[72–74]</w:t>
      </w:r>
      <w:r w:rsidR="00A96FB6">
        <w:fldChar w:fldCharType="end"/>
      </w:r>
      <w:r w:rsidR="00253BC3">
        <w:t>.</w:t>
      </w:r>
    </w:p>
    <w:p w:rsidR="000B44DE" w:rsidRDefault="00F2308C" w:rsidP="000B44DE">
      <w:pPr>
        <w:pStyle w:val="a5"/>
        <w:spacing w:before="0" w:after="0"/>
        <w:ind w:left="709"/>
        <w:rPr>
          <w:b/>
        </w:rPr>
      </w:pPr>
      <w:r w:rsidRPr="00912FAC">
        <w:rPr>
          <w:b/>
        </w:rPr>
        <w:t xml:space="preserve">Уровень убедительности рекомендаций </w:t>
      </w:r>
      <w:r w:rsidR="003119DD">
        <w:rPr>
          <w:b/>
        </w:rPr>
        <w:t xml:space="preserve">− </w:t>
      </w:r>
      <w:r w:rsidR="00BD6788">
        <w:rPr>
          <w:b/>
          <w:lang w:val="en-US"/>
        </w:rPr>
        <w:t>C</w:t>
      </w:r>
      <w:r w:rsidR="00B33A5C">
        <w:rPr>
          <w:b/>
        </w:rPr>
        <w:t xml:space="preserve"> </w:t>
      </w:r>
      <w:r w:rsidRPr="00912FAC">
        <w:rPr>
          <w:b/>
        </w:rPr>
        <w:t>(уровень достоверности доказательств</w:t>
      </w:r>
      <w:r w:rsidR="003119DD">
        <w:rPr>
          <w:b/>
        </w:rPr>
        <w:t xml:space="preserve"> − </w:t>
      </w:r>
      <w:r w:rsidR="00BD6788" w:rsidRPr="00A05B4C">
        <w:rPr>
          <w:b/>
        </w:rPr>
        <w:t>5</w:t>
      </w:r>
      <w:r w:rsidRPr="00912FAC">
        <w:rPr>
          <w:b/>
        </w:rPr>
        <w:t>)</w:t>
      </w:r>
      <w:bookmarkStart w:id="37" w:name="_Toc520213128"/>
    </w:p>
    <w:p w:rsidR="000B44DE" w:rsidRDefault="000B44DE" w:rsidP="002469E3">
      <w:pPr>
        <w:pStyle w:val="a5"/>
        <w:spacing w:before="0" w:after="0"/>
        <w:ind w:left="709"/>
        <w:jc w:val="center"/>
        <w:rPr>
          <w:b/>
        </w:rPr>
      </w:pPr>
    </w:p>
    <w:p w:rsidR="003C363B" w:rsidRPr="00E36DFA" w:rsidRDefault="002469E3" w:rsidP="00E36DFA">
      <w:pPr>
        <w:pStyle w:val="1"/>
        <w:rPr>
          <w:rFonts w:eastAsia="Calibri"/>
        </w:rPr>
      </w:pPr>
      <w:bookmarkStart w:id="38" w:name="_Toc24826825"/>
      <w:r w:rsidRPr="00E36DFA">
        <w:rPr>
          <w:rFonts w:eastAsia="Calibri"/>
        </w:rPr>
        <w:lastRenderedPageBreak/>
        <w:t xml:space="preserve">4. </w:t>
      </w:r>
      <w:r w:rsidR="00B33A5C" w:rsidRPr="00E36DFA">
        <w:rPr>
          <w:rFonts w:eastAsia="Calibri"/>
        </w:rPr>
        <w:t xml:space="preserve">Медицинская реабилитация, медицинские показания </w:t>
      </w:r>
      <w:r w:rsidR="009A649F" w:rsidRPr="00E36DFA">
        <w:rPr>
          <w:rFonts w:eastAsia="Calibri"/>
        </w:rPr>
        <w:br/>
      </w:r>
      <w:r w:rsidR="00B33A5C" w:rsidRPr="00E36DFA">
        <w:rPr>
          <w:rFonts w:eastAsia="Calibri"/>
        </w:rPr>
        <w:t>и противопоказания к применению методов реабилитации</w:t>
      </w:r>
      <w:bookmarkEnd w:id="38"/>
    </w:p>
    <w:p w:rsidR="003C363B" w:rsidRPr="00857B1A" w:rsidRDefault="003C363B" w:rsidP="00131E36">
      <w:pPr>
        <w:pStyle w:val="a5"/>
        <w:numPr>
          <w:ilvl w:val="0"/>
          <w:numId w:val="5"/>
        </w:numPr>
        <w:spacing w:before="0" w:after="0"/>
        <w:ind w:left="709" w:hanging="709"/>
      </w:pPr>
      <w:r>
        <w:t>Всем пациентам с ММ</w:t>
      </w:r>
      <w:r w:rsidR="000A156C">
        <w:t xml:space="preserve"> </w:t>
      </w:r>
      <w:r>
        <w:t xml:space="preserve">на всех этапах терапии заболевания, а также после завершения лекарственного лечения </w:t>
      </w:r>
      <w:r w:rsidRPr="00B76E9B">
        <w:rPr>
          <w:b/>
        </w:rPr>
        <w:t>рекомендуется</w:t>
      </w:r>
      <w:r>
        <w:t xml:space="preserve"> комплексная реабилитация</w:t>
      </w:r>
      <w:r w:rsidR="004E145E" w:rsidRPr="004E145E">
        <w:t xml:space="preserve"> </w:t>
      </w:r>
      <w:r w:rsidR="00A96FB6">
        <w:fldChar w:fldCharType="begin" w:fldLock="1"/>
      </w:r>
      <w:r w:rsidR="00F74B6B">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[75]","plainTextFormattedCitation":"[75]","previouslyFormattedCitation":"[75]"},"properties":{"noteIndex":0},"schema":"https://github.com/citation-style-language/schema/raw/master/csl-citation.json"}</w:instrText>
      </w:r>
      <w:r w:rsidR="00A96FB6">
        <w:fldChar w:fldCharType="separate"/>
      </w:r>
      <w:r w:rsidR="00705691" w:rsidRPr="00705691">
        <w:rPr>
          <w:noProof/>
        </w:rPr>
        <w:t>[75]</w:t>
      </w:r>
      <w:r w:rsidR="00A96FB6">
        <w:fldChar w:fldCharType="end"/>
      </w:r>
      <w:r w:rsidRPr="00857B1A">
        <w:t xml:space="preserve">. </w:t>
      </w:r>
    </w:p>
    <w:p w:rsidR="003C363B" w:rsidRPr="00B76E9B" w:rsidRDefault="003C363B" w:rsidP="00131E36">
      <w:pPr>
        <w:spacing w:before="0" w:after="0"/>
        <w:ind w:left="709"/>
        <w:contextualSpacing/>
        <w:rPr>
          <w:b/>
        </w:rPr>
      </w:pPr>
      <w:r w:rsidRPr="00B76E9B">
        <w:rPr>
          <w:b/>
        </w:rPr>
        <w:t xml:space="preserve">Уровень убедительности рекомендаций </w:t>
      </w:r>
      <w:r w:rsidR="003119DD">
        <w:rPr>
          <w:b/>
        </w:rPr>
        <w:t xml:space="preserve">− </w:t>
      </w:r>
      <w:r w:rsidR="004F07FA">
        <w:rPr>
          <w:b/>
          <w:lang w:val="en-US"/>
        </w:rPr>
        <w:t>C</w:t>
      </w:r>
      <w:r w:rsidR="004E145E" w:rsidRPr="004E145E">
        <w:rPr>
          <w:b/>
        </w:rPr>
        <w:t xml:space="preserve"> </w:t>
      </w:r>
      <w:r w:rsidRPr="00B76E9B">
        <w:rPr>
          <w:b/>
        </w:rPr>
        <w:t>(уровень достоверности доказательств</w:t>
      </w:r>
      <w:r w:rsidR="004F07FA">
        <w:rPr>
          <w:b/>
        </w:rPr>
        <w:t xml:space="preserve"> </w:t>
      </w:r>
      <w:r w:rsidR="003119DD">
        <w:rPr>
          <w:b/>
        </w:rPr>
        <w:t xml:space="preserve">− </w:t>
      </w:r>
      <w:r w:rsidR="004F07FA">
        <w:rPr>
          <w:b/>
        </w:rPr>
        <w:t>5</w:t>
      </w:r>
      <w:r w:rsidRPr="00B76E9B">
        <w:rPr>
          <w:b/>
        </w:rPr>
        <w:t>)</w:t>
      </w:r>
    </w:p>
    <w:p w:rsidR="003C363B" w:rsidRPr="00824F7E" w:rsidRDefault="003C363B" w:rsidP="00131E36">
      <w:pPr>
        <w:spacing w:before="0" w:after="0"/>
        <w:ind w:left="709"/>
        <w:contextualSpacing/>
        <w:rPr>
          <w:i/>
        </w:rPr>
      </w:pPr>
      <w:r w:rsidRPr="00B76E9B">
        <w:rPr>
          <w:b/>
        </w:rPr>
        <w:t>Комментарий:</w:t>
      </w:r>
      <w:r w:rsidR="00BA7503">
        <w:rPr>
          <w:b/>
        </w:rPr>
        <w:t xml:space="preserve"> </w:t>
      </w:r>
      <w:r w:rsidR="003119DD">
        <w:rPr>
          <w:i/>
        </w:rPr>
        <w:t>с</w:t>
      </w:r>
      <w:r w:rsidRPr="00824F7E">
        <w:rPr>
          <w:i/>
        </w:rPr>
        <w:t xml:space="preserve">пециальных методов реабилитации при </w:t>
      </w:r>
      <w:r>
        <w:rPr>
          <w:i/>
        </w:rPr>
        <w:t>ММ</w:t>
      </w:r>
      <w:r w:rsidRPr="00824F7E">
        <w:rPr>
          <w:i/>
        </w:rPr>
        <w:t xml:space="preserve"> не существует. Реабилитация пациентов с </w:t>
      </w:r>
      <w:r>
        <w:rPr>
          <w:i/>
        </w:rPr>
        <w:t>ММ</w:t>
      </w:r>
      <w:r w:rsidRPr="00824F7E">
        <w:rPr>
          <w:i/>
        </w:rPr>
        <w:t xml:space="preserve"> должна носить комплексный характер, охватывая медицинские</w:t>
      </w:r>
      <w:r w:rsidR="00BA7503">
        <w:rPr>
          <w:i/>
        </w:rPr>
        <w:t xml:space="preserve"> </w:t>
      </w:r>
      <w:r w:rsidR="00E25B92">
        <w:rPr>
          <w:i/>
        </w:rPr>
        <w:t>и с</w:t>
      </w:r>
      <w:r w:rsidRPr="00824F7E">
        <w:rPr>
          <w:i/>
        </w:rPr>
        <w:t xml:space="preserve">оциально-психологические аспекты адаптации пациента к нормальной жизни. </w:t>
      </w:r>
      <w:r w:rsidR="00496C13">
        <w:rPr>
          <w:i/>
        </w:rPr>
        <w:t xml:space="preserve">Объем медицинской реабилитации </w:t>
      </w:r>
      <w:r w:rsidR="00DB62D2">
        <w:rPr>
          <w:i/>
        </w:rPr>
        <w:t>разрабатывается индивидуально для каждого пациента</w:t>
      </w:r>
      <w:r w:rsidR="00496C13">
        <w:rPr>
          <w:i/>
        </w:rPr>
        <w:t xml:space="preserve"> врачом</w:t>
      </w:r>
      <w:r w:rsidR="003119DD">
        <w:rPr>
          <w:i/>
        </w:rPr>
        <w:t>-</w:t>
      </w:r>
      <w:r w:rsidR="00496C13">
        <w:rPr>
          <w:i/>
        </w:rPr>
        <w:t>реабилитологом при участии врача</w:t>
      </w:r>
      <w:r w:rsidR="003119DD">
        <w:rPr>
          <w:i/>
        </w:rPr>
        <w:t>-</w:t>
      </w:r>
      <w:r w:rsidR="00496C13">
        <w:rPr>
          <w:i/>
        </w:rPr>
        <w:t xml:space="preserve">гематолога и зависит от течения и проявлений заболевания (нарушения мобильности в связи с патологическими переломами, </w:t>
      </w:r>
      <w:r w:rsidR="00DB62D2">
        <w:rPr>
          <w:i/>
        </w:rPr>
        <w:t>анемический синдром, болевой синдром, нарушения питания и др.)</w:t>
      </w:r>
      <w:r w:rsidR="00496C13">
        <w:rPr>
          <w:i/>
        </w:rPr>
        <w:t xml:space="preserve"> и проведенных вмешательств</w:t>
      </w:r>
      <w:r w:rsidR="00DB62D2">
        <w:rPr>
          <w:i/>
        </w:rPr>
        <w:t xml:space="preserve"> (ТГСК, гемодиализ). Кроме того, программа реабилитации должна учитывать социальные и психологические проблемы пациента и </w:t>
      </w:r>
      <w:r w:rsidRPr="00824F7E">
        <w:rPr>
          <w:i/>
        </w:rPr>
        <w:t xml:space="preserve">требует кроме медицинской помощи обязательного участия социальных работников и психологов. Реабилитация при возникновении осложнений в течение заболевания и лечения проводится в рамках соответствующих нозологий. </w:t>
      </w:r>
    </w:p>
    <w:p w:rsidR="003C363B" w:rsidRPr="005E3E79" w:rsidRDefault="00B33A5C" w:rsidP="00E36DFA">
      <w:pPr>
        <w:pStyle w:val="1"/>
      </w:pPr>
      <w:bookmarkStart w:id="39" w:name="_Toc520213127"/>
      <w:bookmarkStart w:id="40" w:name="_Toc436919"/>
      <w:bookmarkStart w:id="41" w:name="_Toc24826826"/>
      <w:r w:rsidRPr="005E3E79">
        <w:lastRenderedPageBreak/>
        <w:t xml:space="preserve">5. </w:t>
      </w:r>
      <w:r w:rsidR="003C363B" w:rsidRPr="00E36DFA">
        <w:t>Профилактика</w:t>
      </w:r>
      <w:bookmarkEnd w:id="39"/>
      <w:r w:rsidR="003C363B" w:rsidRPr="00E36DFA">
        <w:t xml:space="preserve"> и диспансерное </w:t>
      </w:r>
      <w:bookmarkEnd w:id="40"/>
      <w:r w:rsidRPr="00E36DFA">
        <w:t>наблюдение, медицинские показания и противопоказания к применению методов профилактики</w:t>
      </w:r>
      <w:bookmarkEnd w:id="41"/>
    </w:p>
    <w:p w:rsidR="004F07FA" w:rsidRPr="004F07FA" w:rsidRDefault="004F07FA" w:rsidP="00131E36">
      <w:pPr>
        <w:spacing w:before="0" w:after="0"/>
        <w:ind w:firstLine="709"/>
        <w:contextualSpacing/>
        <w:rPr>
          <w:i/>
        </w:rPr>
      </w:pPr>
      <w:r w:rsidRPr="004F07FA">
        <w:rPr>
          <w:i/>
        </w:rPr>
        <w:t>Методов профилактики ММ в настоящее время не существует, поскольку неизвестен этиологический</w:t>
      </w:r>
      <w:r w:rsidR="00891F1E">
        <w:rPr>
          <w:i/>
        </w:rPr>
        <w:t>(е)</w:t>
      </w:r>
      <w:r w:rsidRPr="004F07FA">
        <w:rPr>
          <w:i/>
        </w:rPr>
        <w:t xml:space="preserve"> фактор(ы), ведущи</w:t>
      </w:r>
      <w:r w:rsidR="00891F1E">
        <w:rPr>
          <w:i/>
        </w:rPr>
        <w:t>й(е)</w:t>
      </w:r>
      <w:r w:rsidRPr="004F07FA">
        <w:rPr>
          <w:i/>
        </w:rPr>
        <w:t xml:space="preserve"> к развитию заболевания. </w:t>
      </w:r>
    </w:p>
    <w:p w:rsidR="004F07FA" w:rsidRPr="00BA7503" w:rsidRDefault="003C363B" w:rsidP="00131E36">
      <w:pPr>
        <w:pStyle w:val="a5"/>
        <w:numPr>
          <w:ilvl w:val="0"/>
          <w:numId w:val="5"/>
        </w:numPr>
        <w:spacing w:before="0" w:after="0"/>
        <w:rPr>
          <w:b/>
        </w:rPr>
      </w:pPr>
      <w:r>
        <w:t>Всем пациентам с ММ</w:t>
      </w:r>
      <w:r w:rsidR="00BA7503">
        <w:t xml:space="preserve"> </w:t>
      </w:r>
      <w:r>
        <w:t>на</w:t>
      </w:r>
      <w:r w:rsidR="00BA7503">
        <w:t xml:space="preserve"> </w:t>
      </w:r>
      <w:r w:rsidR="006E7B15">
        <w:t>протяжении всей жизни</w:t>
      </w:r>
      <w:r w:rsidR="00891F1E">
        <w:t>,</w:t>
      </w:r>
      <w:r>
        <w:t xml:space="preserve"> как в период лечения, так и вне лечения </w:t>
      </w:r>
      <w:r w:rsidR="00FD2995">
        <w:t>ММ</w:t>
      </w:r>
      <w:r>
        <w:t xml:space="preserve">, </w:t>
      </w:r>
      <w:r w:rsidRPr="0085596B">
        <w:rPr>
          <w:b/>
        </w:rPr>
        <w:t>рекомендуется</w:t>
      </w:r>
      <w:r>
        <w:t xml:space="preserve"> диспансерное наблюдение у гематолога</w:t>
      </w:r>
      <w:r w:rsidRPr="00824F7E">
        <w:t xml:space="preserve"> </w:t>
      </w:r>
      <w:r w:rsidR="00A96FB6">
        <w:fldChar w:fldCharType="begin" w:fldLock="1"/>
      </w:r>
      <w:r w:rsidR="0076263A">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76263A" w:rsidRPr="0076263A">
        <w:rPr>
          <w:noProof/>
        </w:rPr>
        <w:t>[1]</w:t>
      </w:r>
      <w:r w:rsidR="00A96FB6">
        <w:fldChar w:fldCharType="end"/>
      </w:r>
      <w:r>
        <w:t xml:space="preserve">. </w:t>
      </w:r>
    </w:p>
    <w:p w:rsidR="003C363B" w:rsidRPr="004F07FA" w:rsidRDefault="003C363B" w:rsidP="00131E36">
      <w:pPr>
        <w:spacing w:before="0" w:after="0"/>
        <w:ind w:left="709"/>
        <w:contextualSpacing/>
        <w:rPr>
          <w:b/>
        </w:rPr>
      </w:pPr>
      <w:r w:rsidRPr="004F07FA">
        <w:rPr>
          <w:b/>
        </w:rPr>
        <w:t xml:space="preserve">Уровень убедительности рекомендаций </w:t>
      </w:r>
      <w:r w:rsidR="00F64CC1">
        <w:rPr>
          <w:b/>
        </w:rPr>
        <w:t xml:space="preserve">− </w:t>
      </w:r>
      <w:r w:rsidR="004F07FA" w:rsidRPr="004F07FA">
        <w:rPr>
          <w:b/>
          <w:lang w:val="en-US"/>
        </w:rPr>
        <w:t>C</w:t>
      </w:r>
      <w:r w:rsidR="00BA7503">
        <w:rPr>
          <w:b/>
        </w:rPr>
        <w:t xml:space="preserve"> </w:t>
      </w:r>
      <w:r w:rsidRPr="004F07FA">
        <w:rPr>
          <w:b/>
        </w:rPr>
        <w:t>(уровень достоверности доказательств</w:t>
      </w:r>
      <w:r w:rsidR="004F07FA" w:rsidRPr="004F07FA">
        <w:rPr>
          <w:b/>
        </w:rPr>
        <w:t xml:space="preserve"> </w:t>
      </w:r>
      <w:r w:rsidR="00F64CC1">
        <w:rPr>
          <w:b/>
        </w:rPr>
        <w:t xml:space="preserve">− </w:t>
      </w:r>
      <w:r w:rsidR="004F07FA" w:rsidRPr="004F07FA">
        <w:rPr>
          <w:b/>
        </w:rPr>
        <w:t>5</w:t>
      </w:r>
      <w:r w:rsidRPr="004F07FA">
        <w:rPr>
          <w:b/>
        </w:rPr>
        <w:t>)</w:t>
      </w:r>
    </w:p>
    <w:p w:rsidR="003C363B" w:rsidRDefault="004317D6" w:rsidP="00131E36">
      <w:pPr>
        <w:spacing w:before="0" w:after="0"/>
        <w:ind w:left="709"/>
        <w:rPr>
          <w:i/>
        </w:rPr>
      </w:pPr>
      <w:r w:rsidRPr="00E85278">
        <w:rPr>
          <w:b/>
        </w:rPr>
        <w:t>Комментарий:</w:t>
      </w:r>
      <w:r w:rsidR="00BA7503">
        <w:rPr>
          <w:b/>
        </w:rPr>
        <w:t xml:space="preserve"> </w:t>
      </w:r>
      <w:r w:rsidR="00F64CC1">
        <w:rPr>
          <w:i/>
        </w:rPr>
        <w:t>к</w:t>
      </w:r>
      <w:r w:rsidR="002E47DA" w:rsidRPr="002E47DA">
        <w:rPr>
          <w:i/>
        </w:rPr>
        <w:t>онтроль за течением заболевания и эффективностью терапии должен выполняться регулярно гематолог</w:t>
      </w:r>
      <w:r w:rsidR="002E47DA">
        <w:rPr>
          <w:i/>
        </w:rPr>
        <w:t xml:space="preserve">ом или </w:t>
      </w:r>
      <w:r w:rsidR="002E47DA" w:rsidRPr="002E47DA">
        <w:rPr>
          <w:i/>
        </w:rPr>
        <w:t>онколог</w:t>
      </w:r>
      <w:r w:rsidR="002E47DA">
        <w:rPr>
          <w:i/>
        </w:rPr>
        <w:t>ом</w:t>
      </w:r>
      <w:r w:rsidR="006E7B15">
        <w:rPr>
          <w:i/>
        </w:rPr>
        <w:t xml:space="preserve"> по месту жительства пациента.</w:t>
      </w:r>
      <w:r w:rsidR="00BA7503">
        <w:rPr>
          <w:i/>
        </w:rPr>
        <w:t xml:space="preserve"> </w:t>
      </w:r>
      <w:r w:rsidR="002E47DA">
        <w:rPr>
          <w:i/>
        </w:rPr>
        <w:t>В п</w:t>
      </w:r>
      <w:r w:rsidRPr="00E85278">
        <w:rPr>
          <w:i/>
        </w:rPr>
        <w:t>роцессе проводимой терапии иммунохимическое исследование белков сыворотки крови и мочи следует выполнять каждые 2</w:t>
      </w:r>
      <w:r w:rsidR="00EE6579">
        <w:rPr>
          <w:i/>
        </w:rPr>
        <w:t>−</w:t>
      </w:r>
      <w:r w:rsidRPr="00E85278">
        <w:rPr>
          <w:i/>
        </w:rPr>
        <w:t xml:space="preserve">3 мес. У </w:t>
      </w:r>
      <w:r w:rsidR="00FB03BB" w:rsidRPr="00FB03BB">
        <w:rPr>
          <w:i/>
        </w:rPr>
        <w:t>пациентов</w:t>
      </w:r>
      <w:r w:rsidRPr="00E85278">
        <w:rPr>
          <w:i/>
        </w:rPr>
        <w:t xml:space="preserve"> олиго- или несекретирующей ММ следует проводить исследование свободных легких цепей. После окончания лечения иммунохимические исследования крови и мочи выполняют каждые 3 мес. Исследование костного мозга рекомендуется только для подтверждения </w:t>
      </w:r>
      <w:r w:rsidR="00815B1A">
        <w:rPr>
          <w:i/>
        </w:rPr>
        <w:t>ПР</w:t>
      </w:r>
      <w:r w:rsidRPr="00E85278">
        <w:rPr>
          <w:i/>
        </w:rPr>
        <w:t xml:space="preserve"> и оценки эффективности лечения при несекретирующей ММ при невозможности исследовать СЛЦ. Рентгенография костей выполняется по клиническим показаниям.</w:t>
      </w:r>
    </w:p>
    <w:p w:rsidR="00202DE5" w:rsidRPr="004E145E" w:rsidRDefault="00202DE5" w:rsidP="00202DE5">
      <w:pPr>
        <w:pStyle w:val="a5"/>
        <w:numPr>
          <w:ilvl w:val="0"/>
          <w:numId w:val="5"/>
        </w:numPr>
        <w:spacing w:before="0" w:after="0"/>
        <w:rPr>
          <w:b/>
        </w:rPr>
      </w:pPr>
      <w:r w:rsidRPr="004E145E">
        <w:t>Пациент</w:t>
      </w:r>
      <w:r w:rsidR="004E145E" w:rsidRPr="004E145E">
        <w:t>ам</w:t>
      </w:r>
      <w:r w:rsidRPr="004E145E">
        <w:t>, которым проводилось</w:t>
      </w:r>
      <w:r w:rsidR="004E145E" w:rsidRPr="004E145E">
        <w:t>/</w:t>
      </w:r>
      <w:r w:rsidRPr="004E145E">
        <w:t xml:space="preserve">проводится лечение с включением препарата леналидомид, </w:t>
      </w:r>
      <w:r w:rsidR="004E145E" w:rsidRPr="004E145E">
        <w:rPr>
          <w:b/>
          <w:bCs/>
        </w:rPr>
        <w:t>рекомендуется</w:t>
      </w:r>
      <w:r w:rsidR="004E145E" w:rsidRPr="004E145E">
        <w:t xml:space="preserve"> </w:t>
      </w:r>
      <w:r w:rsidRPr="004E145E">
        <w:t>проведени</w:t>
      </w:r>
      <w:r w:rsidR="00815B1A">
        <w:t>е</w:t>
      </w:r>
      <w:r w:rsidRPr="004E145E">
        <w:t xml:space="preserve"> плановых скрининговых обследований из-за повышенного риска развития вторых опухолей</w:t>
      </w:r>
      <w:r w:rsidR="004E145E" w:rsidRPr="004E145E">
        <w:t xml:space="preserve"> </w:t>
      </w:r>
      <w:r w:rsidR="00A96FB6" w:rsidRPr="004E145E">
        <w:fldChar w:fldCharType="begin" w:fldLock="1"/>
      </w:r>
      <w:r w:rsidR="00F74B6B">
        <w:instrText>ADDIN CSL_CITATION {"citationItems":[{"id":"ITEM-1","itemData":{"DOI":"10.1038/bcj.2016.114","ISSN":"20445385","abstract":"We have carried out the largest randomised trial to date of newly diagnosed myeloma patients, in which lenalidomide has been used as an induction and maintenance treatment option and here report its impact on second primary malignancy (SPM) incidence and pathology. After review, 104 SPMs were confirmed in 96 of 2732 trial patients. The cumulative incidence of SPM was 0.7% (95% confidence interval (CI) 0.4-1.0%), 2.3% (95% CI 1.6-2.7%) and 3.8% (95% CI 2.9-4.6%) at 1, 2 and 3 years, respectively. Patients receiving maintenance lenalidomide had a significantly higher SPM incidence overall (P=0.011). Age is a risk factor with the highest SPM incidence observed in transplant non-eligible patients aged &gt;74 years receiving lenalidomide maintenance. The 3-year cumulative incidence in this group was 17.3% (95% CI 8.2-26.4%), compared with 6.5% (95% CI 0.2-12.9%) in observation only patients (P=0.049). There was a low overall incidence of haematological SPM (0.5%). The higher SPM incidence in patients receiving lenalidomide maintenance therapy, especially in advanced age, warrants ongoing monitoring although the benefit on survival is likely to outweigh risk.","author":[{"dropping-particle":"","family":"Jones","given":"J. R.","non-dropping-particle":"","parse-names":false,"suffix":""},{"dropping-particle":"","family":"Cairns","given":"D. A.","non-dropping-particle":"","parse-names":false,"suffix":""},{"dropping-particle":"","family":"Gregory","given":"W. M.","non-dropping-particle":"","parse-names":false,"suffix":""},{"dropping-particle":"","family":"Collett","given":"C.","non-dropping-particle":"","parse-names":false,"suffix":""},{"dropping-particle":"","family":"Pawlyn","given":"C.","non-dropping-particle":"","parse-names":false,"suffix":""},{"dropping-particle":"","family":"Sigsworth","given":"R.","non-dropping-particle":"","parse-names":false,"suffix":""},{"dropping-particle":"","family":"Striha","given":"A.","non-dropping-particle":"","parse-names":false,"suffix":""},{"dropping-particle":"","family":"Henderson","given":"R.","non-dropping-particle":"","parse-names":false,"suffix":""},{"dropping-particle":"","family":"Kaiser","given":"M. F.","non-dropping-particle":"","parse-names":false,"suffix":""},{"dropping-particle":"","family":"Jenner","given":"M.","non-dropping-particle":"","parse-names":false,"suffix":""},{"dropping-particle":"","family":"Cook","given":"G.","non-dropping-particle":"","parse-names":false,"suffix":""},{"dropping-particle":"","family":"Russell","given":"N. H.","non-dropping-particle":"","parse-names":false,"suffix":""},{"dropping-particle":"","family":"Williams","given":"C.","non-dropping-particle":"","parse-names":false,"suffix":""},{"dropping-particle":"","family":"Pratt","given":"G.","non-dropping-particle":"","parse-names":false,"suffix":""},{"dropping-particle":"","family":"Kishore","given":"B.","non-dropping-particle":"","parse-names":false,"suffix":""},{"dropping-particle":"","family":"Lindsay","given":"J.","non-dropping-particle":"","parse-names":false,"suffix":""},{"dropping-particle":"","family":"Drayson","given":"M. T.","non-dropping-particle":"","parse-names":false,"suffix":""},{"dropping-particle":"","family":"Davies","given":"F. E.","non-dropping-particle":"","parse-names":false,"suffix":""},{"dropping-particle":"","family":"Boyd","given":"K. D.","non-dropping-particle":"","parse-names":false,"suffix":""},{"dropping-particle":"","family":"Owen","given":"R. G.","non-dropping-particle":"","parse-names":false,"suffix":""},{"dropping-particle":"","family":"Jackson","given":"G. H.","non-dropping-particle":"","parse-names":false,"suffix":""},{"dropping-particle":"","family":"Morgan","given":"G. J.","non-dropping-particle":"","parse-names":false,"suffix":""}],"container-title":"Blood cancer journal","id":"ITEM-1","issue":"12","issued":{"date-parts":[["2016","12","9"]]},"page":"e506","title":"Second malignancies in the context of lenalidomide treatment: an analysis of 2732 myeloma patients enrolled to the Myeloma XI trial","type":"article-journal","volume":"6"},"uris":["http://www.mendeley.com/documents/?uuid=c9e0a495-5d96-3578-9ccf-860499393a73"]}],"mendeley":{"formattedCitation":"[76]","plainTextFormattedCitation":"[76]","previouslyFormattedCitation":"[76]"},"properties":{"noteIndex":0},"schema":"https://github.com/citation-style-language/schema/raw/master/csl-citation.json"}</w:instrText>
      </w:r>
      <w:r w:rsidR="00A96FB6" w:rsidRPr="004E145E">
        <w:fldChar w:fldCharType="separate"/>
      </w:r>
      <w:r w:rsidR="00705691" w:rsidRPr="00705691">
        <w:rPr>
          <w:noProof/>
        </w:rPr>
        <w:t>[76]</w:t>
      </w:r>
      <w:r w:rsidR="00A96FB6" w:rsidRPr="004E145E">
        <w:fldChar w:fldCharType="end"/>
      </w:r>
      <w:r w:rsidRPr="004E145E">
        <w:t>.</w:t>
      </w:r>
    </w:p>
    <w:p w:rsidR="00202DE5" w:rsidRPr="004F07FA" w:rsidRDefault="00202DE5" w:rsidP="00202DE5">
      <w:pPr>
        <w:spacing w:before="0" w:after="0"/>
        <w:ind w:left="709"/>
        <w:contextualSpacing/>
        <w:rPr>
          <w:b/>
        </w:rPr>
      </w:pPr>
      <w:r w:rsidRPr="004E145E">
        <w:rPr>
          <w:b/>
        </w:rPr>
        <w:t xml:space="preserve">Уровень убедительности рекомендаций </w:t>
      </w:r>
      <w:r w:rsidR="00815B1A">
        <w:rPr>
          <w:b/>
        </w:rPr>
        <w:t xml:space="preserve">− </w:t>
      </w:r>
      <w:r w:rsidR="004E145E">
        <w:rPr>
          <w:b/>
          <w:lang w:val="en-US"/>
        </w:rPr>
        <w:t>A</w:t>
      </w:r>
      <w:r>
        <w:rPr>
          <w:b/>
        </w:rPr>
        <w:t xml:space="preserve"> </w:t>
      </w:r>
      <w:r w:rsidRPr="004F07FA">
        <w:rPr>
          <w:b/>
        </w:rPr>
        <w:t xml:space="preserve">(уровень достоверности доказательств </w:t>
      </w:r>
      <w:r w:rsidR="00815B1A">
        <w:rPr>
          <w:b/>
        </w:rPr>
        <w:t xml:space="preserve">− </w:t>
      </w:r>
      <w:r w:rsidR="004E145E" w:rsidRPr="004E145E">
        <w:rPr>
          <w:b/>
        </w:rPr>
        <w:t>2</w:t>
      </w:r>
      <w:r w:rsidRPr="004F07FA">
        <w:rPr>
          <w:b/>
        </w:rPr>
        <w:t>)</w:t>
      </w:r>
    </w:p>
    <w:p w:rsidR="00130BC5" w:rsidRPr="00E36DFA" w:rsidRDefault="00130BC5" w:rsidP="00E36DFA">
      <w:pPr>
        <w:pStyle w:val="1"/>
      </w:pPr>
      <w:bookmarkStart w:id="42" w:name="_Toc436920"/>
      <w:bookmarkStart w:id="43" w:name="_Toc24826827"/>
      <w:r w:rsidRPr="00E36DFA">
        <w:lastRenderedPageBreak/>
        <w:t>6. Организация</w:t>
      </w:r>
      <w:r w:rsidRPr="00E51C95">
        <w:t xml:space="preserve"> </w:t>
      </w:r>
      <w:r w:rsidR="00005BCD">
        <w:t>оказания</w:t>
      </w:r>
      <w:r w:rsidR="00005BCD" w:rsidRPr="00E36DFA">
        <w:t xml:space="preserve"> </w:t>
      </w:r>
      <w:r w:rsidRPr="00E36DFA">
        <w:t>медицинской помощи</w:t>
      </w:r>
      <w:bookmarkEnd w:id="42"/>
      <w:bookmarkEnd w:id="43"/>
    </w:p>
    <w:p w:rsidR="002E36A5" w:rsidRPr="00C40CE5" w:rsidRDefault="002E36A5" w:rsidP="002E36A5">
      <w:pPr>
        <w:spacing w:before="240"/>
        <w:ind w:firstLine="709"/>
        <w:rPr>
          <w:color w:val="000000"/>
        </w:rPr>
      </w:pPr>
      <w:r w:rsidRPr="00C40CE5">
        <w:rPr>
          <w:color w:val="000000"/>
        </w:rPr>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rsidR="002E36A5" w:rsidRPr="00C40CE5" w:rsidRDefault="002E36A5" w:rsidP="002E36A5">
      <w:pPr>
        <w:pStyle w:val="a5"/>
        <w:numPr>
          <w:ilvl w:val="0"/>
          <w:numId w:val="68"/>
        </w:numPr>
        <w:spacing w:before="0" w:after="0"/>
        <w:ind w:left="993"/>
        <w:contextualSpacing w:val="0"/>
        <w:rPr>
          <w:color w:val="000000"/>
        </w:rPr>
      </w:pPr>
      <w:r w:rsidRPr="00C40CE5">
        <w:rPr>
          <w:color w:val="000000"/>
        </w:rP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2E36A5" w:rsidRPr="00C40CE5" w:rsidRDefault="002E36A5" w:rsidP="002E36A5">
      <w:pPr>
        <w:pStyle w:val="a5"/>
        <w:numPr>
          <w:ilvl w:val="0"/>
          <w:numId w:val="68"/>
        </w:numPr>
        <w:spacing w:before="0" w:after="0"/>
        <w:ind w:left="993"/>
        <w:contextualSpacing w:val="0"/>
        <w:rPr>
          <w:color w:val="000000"/>
        </w:rPr>
      </w:pPr>
      <w:r w:rsidRPr="00C40CE5">
        <w:rPr>
          <w:color w:val="000000"/>
        </w:rPr>
        <w:t>в соответствии с порядком оказания помощи по профилю «гематология», обязательным для исполнения на территории Российской Федерации всеми медицинскими организациями;</w:t>
      </w:r>
    </w:p>
    <w:p w:rsidR="002E36A5" w:rsidRPr="00C40CE5" w:rsidRDefault="002E36A5" w:rsidP="002E36A5">
      <w:pPr>
        <w:pStyle w:val="a5"/>
        <w:numPr>
          <w:ilvl w:val="0"/>
          <w:numId w:val="68"/>
        </w:numPr>
        <w:spacing w:before="0" w:after="0"/>
        <w:ind w:left="993"/>
        <w:contextualSpacing w:val="0"/>
        <w:rPr>
          <w:color w:val="000000"/>
        </w:rPr>
      </w:pPr>
      <w:r w:rsidRPr="00C40CE5">
        <w:rPr>
          <w:color w:val="000000"/>
        </w:rPr>
        <w:t>на основе настоящих клинических рекомендаций;</w:t>
      </w:r>
    </w:p>
    <w:p w:rsidR="002E36A5" w:rsidRPr="00C40CE5" w:rsidRDefault="002E36A5" w:rsidP="002E36A5">
      <w:pPr>
        <w:pStyle w:val="a5"/>
        <w:numPr>
          <w:ilvl w:val="0"/>
          <w:numId w:val="68"/>
        </w:numPr>
        <w:spacing w:before="0" w:after="0"/>
        <w:ind w:left="993"/>
        <w:contextualSpacing w:val="0"/>
        <w:rPr>
          <w:color w:val="000000"/>
        </w:rPr>
      </w:pPr>
      <w:r w:rsidRPr="00C40CE5">
        <w:rPr>
          <w:color w:val="000000"/>
        </w:rPr>
        <w:t>с учетом стандартов медицинской помощи, утвержденных уполномоченным федеральным органом исполнительной власти.</w:t>
      </w:r>
    </w:p>
    <w:p w:rsidR="002E36A5" w:rsidRPr="00C40CE5" w:rsidRDefault="002E36A5" w:rsidP="002E36A5">
      <w:pPr>
        <w:ind w:firstLine="709"/>
        <w:rPr>
          <w:color w:val="000000"/>
        </w:rPr>
      </w:pPr>
      <w:r w:rsidRPr="00C40CE5">
        <w:rPr>
          <w:color w:val="000000"/>
        </w:rPr>
        <w:t>Первичная специализированная медико-санитарная помощь оказывается врачом-гематологом и иными врачами-специалистами в центре амбулаторной гематологической/онкологической помощи либо в первичном гематологическом/онкологическом кабинете, первичном гематологическом отделении, поликлиническом отделении онкологического диспансера.</w:t>
      </w:r>
    </w:p>
    <w:p w:rsidR="002E36A5" w:rsidRPr="00C40CE5" w:rsidRDefault="002E36A5" w:rsidP="002E36A5">
      <w:pPr>
        <w:ind w:firstLine="709"/>
        <w:rPr>
          <w:color w:val="000000"/>
        </w:rPr>
      </w:pPr>
      <w:r w:rsidRPr="00C40CE5">
        <w:rPr>
          <w:color w:val="000000"/>
        </w:rPr>
        <w:t xml:space="preserve">При выявлении у </w:t>
      </w:r>
      <w:r>
        <w:rPr>
          <w:color w:val="000000"/>
        </w:rPr>
        <w:t xml:space="preserve">пациента </w:t>
      </w:r>
      <w:r>
        <w:t xml:space="preserve">ММ </w:t>
      </w:r>
      <w:r w:rsidRPr="00C40CE5">
        <w:rPr>
          <w:color w:val="000000"/>
        </w:rPr>
        <w:t xml:space="preserve">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w:t>
      </w:r>
      <w:r>
        <w:rPr>
          <w:color w:val="000000"/>
        </w:rPr>
        <w:t xml:space="preserve">пациента </w:t>
      </w:r>
      <w:r w:rsidRPr="00C40CE5">
        <w:rPr>
          <w:color w:val="000000"/>
        </w:rPr>
        <w:t>на консультацию в центр амбулаторной гематологической/онкологической помощи либо в первичный гематологический кабинет, первичное гематологическое отделение медицинской организации для оказания ему первичной специализированной медико-санитарной помощи.</w:t>
      </w:r>
    </w:p>
    <w:p w:rsidR="002E36A5" w:rsidRPr="00C40CE5" w:rsidRDefault="002E36A5" w:rsidP="002E36A5">
      <w:pPr>
        <w:ind w:firstLine="709"/>
        <w:rPr>
          <w:color w:val="000000"/>
        </w:rPr>
      </w:pPr>
      <w:r w:rsidRPr="00C40CE5">
        <w:rPr>
          <w:color w:val="000000"/>
        </w:rPr>
        <w:t>Врач-гематолог амбулаторного или стационарного звена гематологической помощи организует выполнение диагностических исследований, необходимых для установления диагноза, включая распространенность и стадию заболевания.</w:t>
      </w:r>
    </w:p>
    <w:p w:rsidR="002E36A5" w:rsidRPr="00C40CE5" w:rsidRDefault="002E36A5" w:rsidP="002E36A5">
      <w:pPr>
        <w:ind w:firstLine="709"/>
        <w:rPr>
          <w:color w:val="000000"/>
        </w:rPr>
      </w:pPr>
      <w:r w:rsidRPr="00C40CE5">
        <w:rPr>
          <w:color w:val="000000"/>
        </w:rPr>
        <w:t xml:space="preserve">В случае невозможности проведения диагностических исследований пациент направляется лечащим врачом в медицинскую организацию, оказывающую медицинскую </w:t>
      </w:r>
      <w:r w:rsidRPr="00C40CE5">
        <w:rPr>
          <w:color w:val="000000"/>
        </w:rPr>
        <w:lastRenderedPageBreak/>
        <w:t xml:space="preserve">помощь </w:t>
      </w:r>
      <w:r>
        <w:rPr>
          <w:color w:val="000000"/>
        </w:rPr>
        <w:t xml:space="preserve">пациентам </w:t>
      </w:r>
      <w:r w:rsidRPr="00C40CE5">
        <w:rPr>
          <w:color w:val="000000"/>
        </w:rPr>
        <w:t>с гематологическими заболеваниями для установления диагноза и оказания специализированной, в том числе высокотехнологичной, медицинской помощи.</w:t>
      </w:r>
    </w:p>
    <w:p w:rsidR="002E36A5" w:rsidRPr="00C40CE5" w:rsidRDefault="002E36A5" w:rsidP="002E36A5">
      <w:pPr>
        <w:ind w:firstLine="709"/>
        <w:rPr>
          <w:color w:val="000000"/>
        </w:rPr>
      </w:pPr>
      <w:r w:rsidRPr="00C40CE5">
        <w:rPr>
          <w:color w:val="000000"/>
        </w:rPr>
        <w:t xml:space="preserve">При выявлении </w:t>
      </w:r>
      <w:r>
        <w:t xml:space="preserve">ММ </w:t>
      </w:r>
      <w:r w:rsidRPr="00C40CE5">
        <w:rPr>
          <w:color w:val="000000"/>
        </w:rPr>
        <w:t xml:space="preserve">или подозрении на него в ходе оказания скорой медицинской помощи </w:t>
      </w:r>
      <w:r>
        <w:rPr>
          <w:color w:val="000000"/>
        </w:rPr>
        <w:t xml:space="preserve">пациента </w:t>
      </w:r>
      <w:r w:rsidRPr="00C40CE5">
        <w:rPr>
          <w:color w:val="000000"/>
        </w:rPr>
        <w:t xml:space="preserve">переводят или направляют в медицинские организации, оказывающие медицинскую помощь </w:t>
      </w:r>
      <w:r>
        <w:rPr>
          <w:color w:val="000000"/>
        </w:rPr>
        <w:t xml:space="preserve">пациентам </w:t>
      </w:r>
      <w:r w:rsidRPr="00C40CE5">
        <w:rPr>
          <w:color w:val="000000"/>
        </w:rPr>
        <w:t>с гематологическими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rsidR="002E36A5" w:rsidRPr="00C40CE5" w:rsidRDefault="002E36A5" w:rsidP="002E36A5">
      <w:pPr>
        <w:ind w:firstLine="709"/>
        <w:rPr>
          <w:color w:val="000000"/>
        </w:rPr>
      </w:pPr>
      <w:r w:rsidRPr="00C40CE5">
        <w:rPr>
          <w:color w:val="000000"/>
        </w:rPr>
        <w:t xml:space="preserve">Специализированная, в том числе высокотехнологичная, медицинская помощь оказывается врачами-гематологами в медицинских организациях, оказывающих медицинскую помощь </w:t>
      </w:r>
      <w:r>
        <w:rPr>
          <w:color w:val="000000"/>
        </w:rPr>
        <w:t xml:space="preserve">пациентам с </w:t>
      </w:r>
      <w:r>
        <w:t>ММ</w:t>
      </w:r>
      <w:r w:rsidRPr="00C40CE5">
        <w:rPr>
          <w:color w:val="000000"/>
        </w:rPr>
        <w:t>,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профилактику, диагностику, лечение гематологических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rsidR="002E36A5" w:rsidRPr="00C40CE5" w:rsidRDefault="002E36A5" w:rsidP="002E36A5">
      <w:pPr>
        <w:ind w:firstLine="709"/>
        <w:rPr>
          <w:color w:val="000000"/>
        </w:rPr>
      </w:pPr>
      <w:r w:rsidRPr="00C40CE5">
        <w:rPr>
          <w:color w:val="000000"/>
        </w:rPr>
        <w:t xml:space="preserve">В медицинской организации, оказывающей медицинскую помощь </w:t>
      </w:r>
      <w:r>
        <w:rPr>
          <w:color w:val="000000"/>
        </w:rPr>
        <w:t xml:space="preserve">пациентам с </w:t>
      </w:r>
      <w:r>
        <w:t>ММ</w:t>
      </w:r>
      <w:r w:rsidRPr="00C40CE5">
        <w:rPr>
          <w:color w:val="000000"/>
        </w:rPr>
        <w:t xml:space="preserve">, тактика медицинского обследования и лечения устанавливается врачами-гематологами с привлечением при необходимости других врачей-специалистов, при необходимости – с проведением консилиума. Решение консилиума врачей оформляется протоколом, подписывается участниками консилиума врачей и вносится в медицинскую документацию </w:t>
      </w:r>
      <w:r>
        <w:rPr>
          <w:color w:val="000000"/>
        </w:rPr>
        <w:t>пациента</w:t>
      </w:r>
      <w:r w:rsidRPr="00C40CE5">
        <w:rPr>
          <w:color w:val="000000"/>
        </w:rPr>
        <w:t>.</w:t>
      </w:r>
    </w:p>
    <w:p w:rsidR="002E36A5" w:rsidRPr="00C40CE5" w:rsidRDefault="002E36A5" w:rsidP="002E36A5">
      <w:pPr>
        <w:ind w:firstLine="709"/>
        <w:rPr>
          <w:color w:val="000000"/>
        </w:rPr>
      </w:pPr>
      <w:r w:rsidRPr="00C40CE5">
        <w:rPr>
          <w:color w:val="000000"/>
        </w:rPr>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«гематология», определяются врачом-гематологом/консилиумом врачей с привлечением при необходимости других врачей-специалистов.</w:t>
      </w:r>
    </w:p>
    <w:p w:rsidR="00B272C7" w:rsidRPr="00A05B4C" w:rsidRDefault="00B272C7" w:rsidP="00B272C7">
      <w:pPr>
        <w:pStyle w:val="13"/>
        <w:contextualSpacing/>
        <w:rPr>
          <w:b/>
        </w:rPr>
      </w:pPr>
      <w:r w:rsidRPr="00A05B4C">
        <w:rPr>
          <w:b/>
        </w:rPr>
        <w:t xml:space="preserve">Показания для плановой госпитализации: </w:t>
      </w:r>
    </w:p>
    <w:p w:rsidR="00B272C7" w:rsidRPr="00A05B4C" w:rsidRDefault="00B272C7" w:rsidP="00B272C7">
      <w:pPr>
        <w:pStyle w:val="13"/>
        <w:ind w:left="720" w:firstLine="0"/>
        <w:contextualSpacing/>
      </w:pPr>
      <w:r w:rsidRPr="00A05B4C">
        <w:t>Наличие диагноза симптоматическая</w:t>
      </w:r>
      <w:r>
        <w:t xml:space="preserve"> </w:t>
      </w:r>
      <w:r w:rsidRPr="00A05B4C">
        <w:t>множественная миелома для выполнения:</w:t>
      </w:r>
    </w:p>
    <w:p w:rsidR="00B272C7" w:rsidRPr="00A05B4C" w:rsidRDefault="00B272C7" w:rsidP="00B272C7">
      <w:pPr>
        <w:pStyle w:val="13"/>
        <w:numPr>
          <w:ilvl w:val="0"/>
          <w:numId w:val="12"/>
        </w:numPr>
        <w:contextualSpacing/>
      </w:pPr>
      <w:r w:rsidRPr="00A05B4C">
        <w:t>планового курса специфической терапии, включающей химиотерапевтические препараты, таргетные препараты биологического механизма действия, требующей круглосуточного наблюдения за пациентом</w:t>
      </w:r>
      <w:r>
        <w:t xml:space="preserve"> </w:t>
      </w:r>
      <w:r w:rsidRPr="00A05B4C">
        <w:t>(в том числе при наличии тяжелой коморбидности, цитопенического синдрома)</w:t>
      </w:r>
      <w:r>
        <w:t>,</w:t>
      </w:r>
    </w:p>
    <w:p w:rsidR="00B272C7" w:rsidRPr="00A05B4C" w:rsidRDefault="00B272C7" w:rsidP="00B272C7">
      <w:pPr>
        <w:pStyle w:val="13"/>
        <w:numPr>
          <w:ilvl w:val="0"/>
          <w:numId w:val="12"/>
        </w:numPr>
        <w:contextualSpacing/>
      </w:pPr>
      <w:r w:rsidRPr="00A05B4C">
        <w:t>курса высокодозной химиотерапии</w:t>
      </w:r>
      <w:r>
        <w:t>,</w:t>
      </w:r>
    </w:p>
    <w:p w:rsidR="00B272C7" w:rsidRPr="00A05B4C" w:rsidRDefault="00B272C7" w:rsidP="00B272C7">
      <w:pPr>
        <w:pStyle w:val="13"/>
        <w:numPr>
          <w:ilvl w:val="0"/>
          <w:numId w:val="12"/>
        </w:numPr>
        <w:contextualSpacing/>
      </w:pPr>
      <w:r w:rsidRPr="00A05B4C">
        <w:lastRenderedPageBreak/>
        <w:t>трансплантации аутологичных (аллогенных) стволовых гемопоэтических клеток</w:t>
      </w:r>
      <w:r>
        <w:t>,</w:t>
      </w:r>
    </w:p>
    <w:p w:rsidR="00B272C7" w:rsidRPr="00A05B4C" w:rsidRDefault="00B272C7" w:rsidP="00B272C7">
      <w:pPr>
        <w:pStyle w:val="13"/>
        <w:numPr>
          <w:ilvl w:val="0"/>
          <w:numId w:val="12"/>
        </w:numPr>
        <w:contextualSpacing/>
      </w:pPr>
      <w:r w:rsidRPr="00A05B4C">
        <w:t>мобилизации и сбора аутологичных стволовых гемопоэтических клеток крови</w:t>
      </w:r>
      <w:r>
        <w:t>,</w:t>
      </w:r>
    </w:p>
    <w:p w:rsidR="00B272C7" w:rsidRPr="00A05B4C" w:rsidRDefault="00B272C7" w:rsidP="00B272C7">
      <w:pPr>
        <w:pStyle w:val="13"/>
        <w:numPr>
          <w:ilvl w:val="0"/>
          <w:numId w:val="12"/>
        </w:numPr>
        <w:contextualSpacing/>
      </w:pPr>
      <w:r w:rsidRPr="00A05B4C">
        <w:t>эксфузии</w:t>
      </w:r>
      <w:r>
        <w:t xml:space="preserve"> </w:t>
      </w:r>
      <w:r w:rsidRPr="00A05B4C">
        <w:t>аутологичного костного мозга для последующей трансплантации</w:t>
      </w:r>
      <w:r>
        <w:t>.</w:t>
      </w:r>
    </w:p>
    <w:p w:rsidR="00B272C7" w:rsidRPr="00A05B4C" w:rsidRDefault="00B272C7" w:rsidP="00B272C7">
      <w:pPr>
        <w:pStyle w:val="13"/>
        <w:contextualSpacing/>
        <w:rPr>
          <w:b/>
        </w:rPr>
      </w:pPr>
      <w:r w:rsidRPr="00A05B4C">
        <w:rPr>
          <w:b/>
        </w:rPr>
        <w:t xml:space="preserve">Показания для экстренной госпитализации: </w:t>
      </w:r>
    </w:p>
    <w:p w:rsidR="00B272C7" w:rsidRPr="00A05B4C" w:rsidRDefault="00B272C7" w:rsidP="00B272C7">
      <w:pPr>
        <w:pStyle w:val="13"/>
        <w:ind w:left="720" w:firstLine="0"/>
        <w:contextualSpacing/>
      </w:pPr>
      <w:r w:rsidRPr="00A05B4C">
        <w:t>Наличие диагноза симптоматическая множественная миелома, осложненная</w:t>
      </w:r>
    </w:p>
    <w:p w:rsidR="00B272C7" w:rsidRPr="00A05B4C" w:rsidRDefault="00B272C7" w:rsidP="00B272C7">
      <w:pPr>
        <w:pStyle w:val="13"/>
        <w:numPr>
          <w:ilvl w:val="0"/>
          <w:numId w:val="13"/>
        </w:numPr>
        <w:contextualSpacing/>
      </w:pPr>
      <w:r w:rsidRPr="00A05B4C">
        <w:t>острым почечным повреждением вследствие миеломной нефропатии</w:t>
      </w:r>
      <w:r>
        <w:t>,</w:t>
      </w:r>
    </w:p>
    <w:p w:rsidR="00B272C7" w:rsidRPr="00A05B4C" w:rsidRDefault="00B272C7" w:rsidP="00B272C7">
      <w:pPr>
        <w:pStyle w:val="13"/>
        <w:numPr>
          <w:ilvl w:val="0"/>
          <w:numId w:val="13"/>
        </w:numPr>
        <w:contextualSpacing/>
      </w:pPr>
      <w:r w:rsidRPr="00A05B4C">
        <w:t>тяжелым оссалгическим синдромом (в том числе с угрозой переломов, повреждения позвоночника, сдавления спинного мозга)</w:t>
      </w:r>
      <w:r>
        <w:t>,</w:t>
      </w:r>
    </w:p>
    <w:p w:rsidR="00B272C7" w:rsidRPr="00A05B4C" w:rsidRDefault="00B272C7" w:rsidP="00B272C7">
      <w:pPr>
        <w:pStyle w:val="13"/>
        <w:numPr>
          <w:ilvl w:val="0"/>
          <w:numId w:val="13"/>
        </w:numPr>
        <w:contextualSpacing/>
      </w:pPr>
      <w:r w:rsidRPr="00A05B4C">
        <w:t>тромботическими / геморрагическими осложнениями на фоне специфической терапии</w:t>
      </w:r>
      <w:r>
        <w:t>,</w:t>
      </w:r>
    </w:p>
    <w:p w:rsidR="00B272C7" w:rsidRPr="00A05B4C" w:rsidRDefault="00B272C7" w:rsidP="00B272C7">
      <w:pPr>
        <w:pStyle w:val="13"/>
        <w:numPr>
          <w:ilvl w:val="0"/>
          <w:numId w:val="13"/>
        </w:numPr>
        <w:contextualSpacing/>
      </w:pPr>
      <w:r w:rsidRPr="00A05B4C">
        <w:t>тяжелыми инфекционными осложнениями на фоне специфической терапии</w:t>
      </w:r>
      <w:r>
        <w:t>,</w:t>
      </w:r>
    </w:p>
    <w:p w:rsidR="00B272C7" w:rsidRPr="0076263A" w:rsidRDefault="00B272C7" w:rsidP="00B272C7">
      <w:pPr>
        <w:pStyle w:val="13"/>
        <w:numPr>
          <w:ilvl w:val="0"/>
          <w:numId w:val="13"/>
        </w:numPr>
        <w:contextualSpacing/>
      </w:pPr>
      <w:r w:rsidRPr="0076263A">
        <w:t>кардиальной патологией на фоне специфической терапии,</w:t>
      </w:r>
    </w:p>
    <w:p w:rsidR="00B272C7" w:rsidRPr="00B272C7" w:rsidRDefault="00B272C7" w:rsidP="00B272C7">
      <w:pPr>
        <w:pStyle w:val="13"/>
        <w:numPr>
          <w:ilvl w:val="0"/>
          <w:numId w:val="13"/>
        </w:numPr>
        <w:contextualSpacing/>
        <w:rPr>
          <w:color w:val="000000"/>
        </w:rPr>
      </w:pPr>
      <w:r w:rsidRPr="0076263A">
        <w:t xml:space="preserve">глубокой </w:t>
      </w:r>
      <w:r w:rsidRPr="00B272C7">
        <w:rPr>
          <w:color w:val="000000"/>
        </w:rPr>
        <w:t>цитопенией.</w:t>
      </w:r>
    </w:p>
    <w:p w:rsidR="00B272C7" w:rsidRPr="00A05B4C" w:rsidRDefault="00B272C7" w:rsidP="00B272C7">
      <w:pPr>
        <w:pStyle w:val="13"/>
        <w:contextualSpacing/>
        <w:rPr>
          <w:b/>
        </w:rPr>
      </w:pPr>
      <w:r w:rsidRPr="00A05B4C">
        <w:rPr>
          <w:b/>
        </w:rPr>
        <w:t>Показания к выписке пациента из стационара:</w:t>
      </w:r>
    </w:p>
    <w:p w:rsidR="00B272C7" w:rsidRPr="00A05B4C" w:rsidRDefault="00B272C7" w:rsidP="00B272C7">
      <w:pPr>
        <w:pStyle w:val="13"/>
        <w:numPr>
          <w:ilvl w:val="0"/>
          <w:numId w:val="14"/>
        </w:numPr>
        <w:contextualSpacing/>
      </w:pPr>
      <w:r w:rsidRPr="00A05B4C">
        <w:t>Завершение курса специфической терапии</w:t>
      </w:r>
      <w:r>
        <w:t>.</w:t>
      </w:r>
    </w:p>
    <w:p w:rsidR="00B272C7" w:rsidRPr="00A05B4C" w:rsidRDefault="00B272C7" w:rsidP="00B272C7">
      <w:pPr>
        <w:pStyle w:val="13"/>
        <w:numPr>
          <w:ilvl w:val="0"/>
          <w:numId w:val="14"/>
        </w:numPr>
        <w:contextualSpacing/>
      </w:pPr>
      <w:r w:rsidRPr="00A05B4C">
        <w:t>Купирование осложнений, возникших на фоне специфической терапии</w:t>
      </w:r>
    </w:p>
    <w:p w:rsidR="00E92FAD" w:rsidRDefault="00E92FAD" w:rsidP="00E92FAD">
      <w:pPr>
        <w:pStyle w:val="Default"/>
        <w:spacing w:line="360" w:lineRule="auto"/>
        <w:ind w:firstLine="709"/>
        <w:jc w:val="both"/>
      </w:pPr>
      <w:r>
        <w:t xml:space="preserve">Заключение о целесообразности перевода </w:t>
      </w:r>
      <w:r w:rsidR="00534E54">
        <w:t xml:space="preserve">пациента </w:t>
      </w:r>
      <w:r>
        <w:t xml:space="preserve">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w:t>
      </w:r>
      <w:r w:rsidR="00534E54">
        <w:t xml:space="preserve">пациента </w:t>
      </w:r>
      <w:r>
        <w:t>врачами специалистами медицинской организации, в которую планируется перевод.</w:t>
      </w:r>
    </w:p>
    <w:p w:rsidR="00130BC5" w:rsidRPr="00E778E9" w:rsidRDefault="00E778E9" w:rsidP="00E778E9">
      <w:pPr>
        <w:pStyle w:val="1"/>
      </w:pPr>
      <w:bookmarkStart w:id="44" w:name="_Toc24826828"/>
      <w:r w:rsidRPr="00E778E9">
        <w:rPr>
          <w:b w:val="0"/>
        </w:rPr>
        <w:lastRenderedPageBreak/>
        <w:t>7.</w:t>
      </w:r>
      <w:r>
        <w:t xml:space="preserve"> </w:t>
      </w:r>
      <w:r w:rsidR="005E3E79" w:rsidRPr="00E778E9">
        <w:t>Дополнительная информация (в том числе факторы, влияющие на исход заболевания или состояния)</w:t>
      </w:r>
      <w:bookmarkEnd w:id="44"/>
    </w:p>
    <w:p w:rsidR="00E778E9" w:rsidRPr="00E36DFA" w:rsidRDefault="00E778E9" w:rsidP="00E36DFA">
      <w:r w:rsidRPr="00E36DFA">
        <w:rPr>
          <w:b/>
        </w:rPr>
        <w:t>Оценка эффективности лечения множественной миеломы</w:t>
      </w:r>
    </w:p>
    <w:p w:rsidR="00E778E9" w:rsidRPr="009D3148" w:rsidRDefault="00E778E9" w:rsidP="00E778E9">
      <w:pPr>
        <w:shd w:val="clear" w:color="auto" w:fill="FFFFFF"/>
        <w:tabs>
          <w:tab w:val="left" w:pos="900"/>
        </w:tabs>
        <w:spacing w:before="0" w:after="0"/>
        <w:ind w:firstLine="709"/>
        <w:contextualSpacing/>
        <w:rPr>
          <w:rFonts w:eastAsia="Times New Roman"/>
        </w:rPr>
      </w:pPr>
      <w:r w:rsidRPr="009D3148">
        <w:rPr>
          <w:rFonts w:eastAsia="Times New Roman"/>
        </w:rPr>
        <w:t>Оценка эффективности лечения ММ проводится согласно международным критериям, предложенным в 2006 г. и модифицированным в 2011</w:t>
      </w:r>
      <w:r w:rsidRPr="004E145E">
        <w:rPr>
          <w:rFonts w:eastAsia="Times New Roman"/>
        </w:rPr>
        <w:t xml:space="preserve"> </w:t>
      </w:r>
      <w:r>
        <w:rPr>
          <w:rFonts w:eastAsia="Times New Roman"/>
        </w:rPr>
        <w:t>и 2016</w:t>
      </w:r>
      <w:r w:rsidRPr="009D3148">
        <w:rPr>
          <w:rFonts w:eastAsia="Times New Roman"/>
        </w:rPr>
        <w:t xml:space="preserve"> </w:t>
      </w:r>
      <w:r>
        <w:rPr>
          <w:rFonts w:eastAsia="Times New Roman"/>
        </w:rPr>
        <w:t>г</w:t>
      </w:r>
      <w:r w:rsidRPr="009D3148">
        <w:rPr>
          <w:rFonts w:eastAsia="Times New Roman"/>
        </w:rPr>
        <w:t>г.</w:t>
      </w:r>
      <w:r w:rsidRPr="004E145E">
        <w:t xml:space="preserve"> </w:t>
      </w:r>
      <w:r>
        <w:fldChar w:fldCharType="begin" w:fldLock="1"/>
      </w:r>
      <w:r w:rsidR="00F74B6B">
        <w:instrText>ADDIN CSL_CITATION {"citationItems":[{"id":"ITEM-1","itemData":{"DOI":"10.1038/sj.leu.2404284","ISSN":"14765551","abstract":"New uniform response criteria are required to adequately assess clinical outcomes in myeloma. The European Group for Blood and Bone Marrow Transplant/International Bone Marrow Transplant Registry criteria have been expanded, clarified and updated to provide a new comprehensive evaluation system. Categories for stringent complete response and very good partial response are added. The serum free light-chain assay is included to allow evaluation of patients with oligo-secretory disease. Inconsistencies in prior criteria are clarified making confirmation of response and disease progression easier to perform. Emphasis is placed upon time to event and duration of response as critical end points. The requirements necessary to use overall survival duration as the ultimate end point are discussed. It is anticipated that the International Response Criteria for multiple myeloma will be widely used in future clinical trials of myeloma.","author":[{"dropping-particle":"","family":"Durie","given":"B. G.M.","non-dropping-particle":"","parse-names":false,"suffix":""},{"dropping-particle":"","family":"Harousseau","given":"J. L.","non-dropping-particle":"","parse-names":false,"suffix":""},{"dropping-particle":"","family":"Miguel","given":"J. S.","non-dropping-particle":"","parse-names":false,"suffix":""},{"dropping-particle":"","family":"Bladé","given":"J.","non-dropping-particle":"","parse-names":false,"suffix":""},{"dropping-particle":"","family":"Barlogie","given":"B.","non-dropping-particle":"","parse-names":false,"suffix":""},{"dropping-particle":"","family":"Anderson","given":"K.","non-dropping-particle":"","parse-names":false,"suffix":""},{"dropping-particle":"","family":"Gertz","given":"M.","non-dropping-particle":"","parse-names":false,"suffix":""},{"dropping-particle":"","family":"Dimopoulos","given":"M.","non-dropping-particle":"","parse-names":false,"suffix":""},{"dropping-particle":"","family":"Westin","given":"J.","non-dropping-particle":"","parse-names":false,"suffix":""},{"dropping-particle":"","family":"Sonneveld","given":"P.","non-dropping-particle":"","parse-names":false,"suffix":""},{"dropping-particle":"","family":"Ludwig","given":"H.","non-dropping-particle":"","parse-names":false,"suffix":""},{"dropping-particle":"","family":"Gahrton","given":"G.","non-dropping-particle":"","parse-names":false,"suffix":""},{"dropping-particle":"","family":"Beksac","given":"M.","non-dropping-particle":"","parse-names":false,"suffix":""},{"dropping-particle":"","family":"Crowley","given":"J.","non-dropping-particle":"","parse-names":false,"suffix":""},{"dropping-particle":"","family":"Belch","given":"A.","non-dropping-particle":"","parse-names":false,"suffix":""},{"dropping-particle":"","family":"Boccadaro","given":"M.","non-dropping-particle":"","parse-names":false,"suffix":""},{"dropping-particle":"","family":"Cavo","given":"M.","non-dropping-particle":"","parse-names":false,"suffix":""},{"dropping-particle":"","family":"Turesson","given":"I.","non-dropping-particle":"","parse-names":false,"suffix":""},{"dropping-particle":"","family":"Joshua","given":"D.","non-dropping-particle":"","parse-names":false,"suffix":""},{"dropping-particle":"","family":"Vesole","given":"D.","non-dropping-particle":"","parse-names":false,"suffix":""},{"dropping-particle":"","family":"Kyle","given":"R.","non-dropping-particle":"","parse-names":false,"suffix":""},{"dropping-particle":"","family":"Tricot","given":"G.","non-dropping-particle":"","parse-names":false,"suffix":""},{"dropping-particle":"","family":"Alexanian","given":"R.","non-dropping-particle":"","parse-names":false,"suffix":""},{"dropping-particle":"","family":"Attal","given":"M.","non-dropping-particle":"","parse-names":false,"suffix":""},{"dropping-particle":"","family":"Merlini","given":"G.","non-dropping-particle":"","parse-names":false,"suffix":""},{"dropping-particle":"","family":"Powles","given":"R.","non-dropping-particle":"","parse-names":false,"suffix":""},{"dropping-particle":"","family":"Richardson","given":"P.","non-dropping-particle":"","parse-names":false,"suffix":""},{"dropping-particle":"","family":"Shimizu","given":"K.","non-dropping-particle":"","parse-names":false,"suffix":""},{"dropping-particle":"","family":"Tosi","given":"P.","non-dropping-particle":"","parse-names":false,"suffix":""},{"dropping-particle":"V.","family":"Rajkumar","given":"S.","non-dropping-particle":"","parse-names":false,"suffix":""},{"dropping-particle":"","family":"Morgan","given":"G.","non-dropping-particle":"","parse-names":false,"suffix":""}],"container-title":"Leukemia","id":"ITEM-1","issue":"9","issued":{"date-parts":[["2006","9","1"]]},"page":"1467-1473","publisher":"Nature Publishing Group","title":"International uniform response criteria for multiple myeloma","type":"article-journal","volume":"20"},"uris":["http://www.mendeley.com/documents/?uuid=aebf3721-d8f9-331d-a8a6-ba12b64a133b"]},{"id":"ITEM-2","itemData":{"DOI":"10.1182/blood-2010-10-299487","ISSN":"00064971","abstract":"It is essential that there be consistency in the conduct, analysis, and reporting of clinical trial results in myeloma. The goal of the International Myeloma Workshop Consensus Panel 1 was to develop a set of guidelines for the uniform reporting of clinical trial results in myeloma. This paper provides a summary of the current response criteria in myeloma, detailed definitions for patient populations, lines of therapy, and specific endpoints. We propose that future clinical trials in myeloma follow the guidelines for reporting results proposed in this manuscript.","author":[{"dropping-particle":"","family":"Rajkumar","given":"S. Vincent","non-dropping-particle":"","parse-names":false,"suffix":""},{"dropping-particle":"","family":"Harousseau","given":"Jean Luc","non-dropping-particle":"","parse-names":false,"suffix":""},{"dropping-particle":"","family":"Durie","given":"Brian","non-dropping-particle":"","parse-names":false,"suffix":""},{"dropping-particle":"","family":"Anderson","given":"Kenneth C.","non-dropping-particle":"","parse-names":false,"suffix":""},{"dropping-particle":"","family":"Dimopoulos","given":"Meletios","non-dropping-particle":"","parse-names":false,"suffix":""},{"dropping-particle":"","family":"Kyle","given":"Robert","non-dropping-particle":"","parse-names":false,"suffix":""},{"dropping-particle":"","family":"Blade","given":"Joan","non-dropping-particle":"","parse-names":false,"suffix":""},{"dropping-particle":"","family":"Richardson","given":"Paul","non-dropping-particle":"","parse-names":false,"suffix":""},{"dropping-particle":"","family":"Orlowski","given":"Robert","non-dropping-particle":"","parse-names":false,"suffix":""},{"dropping-particle":"","family":"Siegel","given":"David","non-dropping-particle":"","parse-names":false,"suffix":""},{"dropping-particle":"","family":"Jagannath","given":"Sundar","non-dropping-particle":"","parse-names":false,"suffix":""},{"dropping-particle":"","family":"Facon","given":"Thierry","non-dropping-particle":"","parse-names":false,"suffix":""},{"dropping-particle":"","family":"Avet-Loiseau","given":"Hervé","non-dropping-particle":"","parse-names":false,"suffix":""},{"dropping-particle":"","family":"Lonial","given":"Sagar","non-dropping-particle":"","parse-names":false,"suffix":""},{"dropping-particle":"","family":"Palumbo","given":"Antonio","non-dropping-particle":"","parse-names":false,"suffix":""},{"dropping-particle":"","family":"Zonder","given":"Jeffrey","non-dropping-particle":"","parse-names":false,"suffix":""},{"dropping-particle":"","family":"Ludwig","given":"Heinz","non-dropping-particle":"","parse-names":false,"suffix":""},{"dropping-particle":"","family":"Vesole","given":"David","non-dropping-particle":"","parse-names":false,"suffix":""},{"dropping-particle":"","family":"Sezer","given":"Orhan","non-dropping-particle":"","parse-names":false,"suffix":""},{"dropping-particle":"","family":"Munshi","given":"Nikhil C.","non-dropping-particle":"","parse-names":false,"suffix":""},{"dropping-particle":"","family":"San Miguel","given":"Jesus","non-dropping-particle":"","parse-names":false,"suffix":""}],"container-title":"Blood","id":"ITEM-2","issue":"18","issued":{"date-parts":[["2011","5","5"]]},"page":"4691-4695","title":"Consensus recommendations for the uniform reporting of clinical trials: Report of the International Myeloma Workshop Consensus Panel 1","type":"paper-conference","volume":"117"},"uris":["http://www.mendeley.com/documents/?uuid=0db91df9-fa07-385d-b4a7-0a85a73875a2"]},{"id":"ITEM-3","itemData":{"DOI":"10.1016/S1470-2045(16)30206-6","ISSN":"14745488","abstract":"Treatment of multiple myeloma has substantially changed over the past decade with the introduction of several classes of new effective drugs that have greatly improved the rates and depth of response. Response criteria in multiple myeloma were developed to use serum and urine assessment of monoclonal proteins and bone marrow assessment (which is relatively insensitive). Given the high rates of complete response seen in patients with multiple myeloma with new treatment approaches, new response categories need to be defined that can identify responses that are deeper than those conventionally defined as complete response. Recent attempts have focused on the identification of residual tumour cells in the bone marrow using flow cytometry or gene sequencing. Furthermore, sensitive imaging techniques can be used to detect the presence of residual disease outside of the bone marrow. Combining these new methods, the International Myeloma Working Group has defined new response categories of minimal residual disease negativity, with or without imaging-based absence of extramedullary disease, to allow uniform reporting within and outside clinical trials. In this Review, we clarify several aspects of disease response assessment, along with endpoints for clinical trials, and highlight future directions for disease response assessments.","author":[{"dropping-particle":"","family":"Kumar","given":"Shaji","non-dropping-particle":"","parse-names":false,"suffix":""},{"dropping-particle":"","family":"Paiva","given":"Bruno","non-dropping-particle":"","parse-names":false,"suffix":""},{"dropping-particle":"","family":"Anderson","given":"Kenneth C.","non-dropping-particle":"","parse-names":false,"suffix":""},{"dropping-particle":"","family":"Durie","given":"Brian","non-dropping-particle":"","parse-names":false,"suffix":""},{"dropping-particle":"","family":"Landgren","given":"Ola","non-dropping-particle":"","parse-names":false,"suffix":""},{"dropping-particle":"","family":"Moreau","given":"Philippe","non-dropping-particle":"","parse-names":false,"suffix":""},{"dropping-particle":"","family":"Munshi","given":"Nikhil","non-dropping-particle":"","parse-names":false,"suffix":""},{"dropping-particle":"","family":"Lonial","given":"Sagar","non-dropping-particle":"","parse-names":false,"suffix":""},{"dropping-particle":"","family":"Bladé","given":"Joan","non-dropping-particle":"","parse-names":false,"suffix":""},{"dropping-particle":"","family":"Mateos","given":"Maria Victoria","non-dropping-particle":"","parse-names":false,"suffix":""},{"dropping-particle":"","family":"Dimopoulos","given":"Meletios","non-dropping-particle":"","parse-names":false,"suffix":""},{"dropping-particle":"","family":"Kastritis","given":"Efstathios","non-dropping-particle":"","parse-names":false,"suffix":""},{"dropping-particle":"","family":"Boccadoro","given":"Mario","non-dropping-particle":"","parse-names":false,"suffix":""},{"dropping-particle":"","family":"Orlowski","given":"Robert","non-dropping-particle":"","parse-names":false,"suffix":""},{"dropping-particle":"","family":"Goldschmidt","given":"Hartmut","non-dropping-particle":"","parse-names":false,"suffix":""},{"dropping-particle":"","family":"Spencer","given":"Andrew","non-dropping-particle":"","parse-names":false,"suffix":""},{"dropping-particle":"","family":"Hou","given":"Jian","non-dropping-particle":"","parse-names":false,"suffix":""},{"dropping-particle":"","family":"Chng","given":"Wee Joo","non-dropping-particle":"","parse-names":false,"suffix":""},{"dropping-particle":"","family":"Usmani","given":"Saad Z.","non-dropping-particle":"","parse-names":false,"suffix":""},{"dropping-particle":"","family":"Zamagni","given":"Elena","non-dropping-particle":"","parse-names":false,"suffix":""},{"dropping-particle":"","family":"Shimizu","given":"Kazuyuki","non-dropping-particle":"","parse-names":false,"suffix":""},{"dropping-particle":"","family":"Jagannath","given":"Sundar","non-dropping-particle":"","parse-names":false,"suffix":""},{"dropping-particle":"","family":"Johnsen","given":"Hans E.","non-dropping-particle":"","parse-names":false,"suffix":""},{"dropping-particle":"","family":"Terpos","given":"Evangelos","non-dropping-particle":"","parse-names":false,"suffix":""},{"dropping-particle":"","family":"Reiman","given":"Anthony","non-dropping-particle":"","parse-names":false,"suffix":""},{"dropping-particle":"","family":"Kyle","given":"Robert A.","non-dropping-particle":"","parse-names":false,"suffix":""},{"dropping-particle":"","family":"Sonneveld","given":"Pieter","non-dropping-particle":"","parse-names":false,"suffix":""},{"dropping-particle":"","family":"Richardson","given":"Paul G.","non-dropping-particle":"","parse-names":false,"suffix":""},{"dropping-particle":"","family":"McCarthy","given":"Philip","non-dropping-particle":"","parse-names":false,"suffix":""},{"dropping-particle":"","family":"Ludwig","given":"Heinz","non-dropping-particle":"","parse-names":false,"suffix":""},{"dropping-particle":"","family":"Chen","given":"Wenming","non-dropping-particle":"","parse-names":false,"suffix":""},{"dropping-particle":"","family":"Cavo","given":"Michele","non-dropping-particle":"","parse-names":false,"suffix":""},{"dropping-particle":"","family":"Harousseau","given":"Jean Luc","non-dropping-particle":"","parse-names":false,"suffix":""},{"dropping-particle":"","family":"Lentzsch","given":"Suzanne","non-dropping-particle":"","parse-names":false,"suffix":""},{"dropping-particle":"","family":"Hillengass","given":"Jens","non-dropping-particle":"","parse-names":false,"suffix":""},{"dropping-particle":"","family":"Palumbo","given":"Antonio","non-dropping-particle":"","parse-names":false,"suffix":""},{"dropping-particle":"","family":"Orfao","given":"Alberto","non-dropping-particle":"","parse-names":false,"suffix":""},{"dropping-particle":"","family":"Rajkumar","given":"S. Vincent","non-dropping-particle":"","parse-names":false,"suffix":""},{"dropping-particle":"","family":"Miguel","given":"Jesus San","non-dropping-particle":"","parse-names":false,"suffix":""},{"dropping-particle":"","family":"Avet-Loiseau","given":"Herve","non-dropping-particle":"","parse-names":false,"suffix":""}],"container-title":"The Lancet Oncology","id":"ITEM-3","issue":"8","issued":{"date-parts":[["2016","8","1"]]},"page":"e328-e346","publisher":"Lancet Publishing Group","title":"International Myeloma Working Group consensus criteria for response and minimal residual disease assessment in multiple myeloma","type":"article","volume":"17"},"uris":["http://www.mendeley.com/documents/?uuid=530a8544-f504-385c-8004-3a945290d1b0"]}],"mendeley":{"formattedCitation":"[72–74]","plainTextFormattedCitation":"[72–74]","previouslyFormattedCitation":"[72–74]"},"properties":{"noteIndex":0},"schema":"https://github.com/citation-style-language/schema/raw/master/csl-citation.json"}</w:instrText>
      </w:r>
      <w:r>
        <w:fldChar w:fldCharType="separate"/>
      </w:r>
      <w:r w:rsidR="00705691" w:rsidRPr="00705691">
        <w:rPr>
          <w:noProof/>
        </w:rPr>
        <w:t>[72–74]</w:t>
      </w:r>
      <w:r>
        <w:fldChar w:fldCharType="end"/>
      </w:r>
      <w:r>
        <w:t>.</w:t>
      </w:r>
      <w:r w:rsidRPr="009D3148">
        <w:rPr>
          <w:rFonts w:eastAsia="Times New Roman"/>
        </w:rPr>
        <w:t xml:space="preserve"> При оценке любое исследование нужно провести не менее 2 раз для подтверждения результатов.</w:t>
      </w:r>
    </w:p>
    <w:p w:rsidR="00E778E9" w:rsidRPr="009D3148" w:rsidRDefault="00E778E9" w:rsidP="00E778E9">
      <w:pPr>
        <w:shd w:val="clear" w:color="auto" w:fill="FFFFFF"/>
        <w:tabs>
          <w:tab w:val="left" w:pos="900"/>
        </w:tabs>
        <w:spacing w:before="0" w:after="0"/>
        <w:ind w:firstLine="709"/>
        <w:contextualSpacing/>
        <w:rPr>
          <w:rFonts w:eastAsia="Times New Roman"/>
          <w:highlight w:val="green"/>
        </w:rPr>
      </w:pPr>
      <w:r w:rsidRPr="009D3148">
        <w:rPr>
          <w:rFonts w:eastAsia="Times New Roman"/>
        </w:rPr>
        <w:t>Оценка эффекта по уровню моноклонального белка в сыворотке крови и моче применима для пациентов с «измеряемой» болезнью. Заболевание считают «измеряемым» при концентрации М-протеина в сыворотке ≥10 г/л или в суточной моче ≥200 г.  При отсутствии моноклонального белка в сыворотке крови и моче по данным электрофореза и иммунофиксации (несекретирующей миеломе), но при его выявлении методом Freeli</w:t>
      </w:r>
      <w:r w:rsidRPr="009D3148">
        <w:rPr>
          <w:rFonts w:eastAsia="Times New Roman"/>
          <w:lang w:val="en-US"/>
        </w:rPr>
        <w:t>te</w:t>
      </w:r>
      <w:r w:rsidRPr="009D3148">
        <w:rPr>
          <w:rFonts w:eastAsia="Times New Roman"/>
        </w:rPr>
        <w:t>, «измеряемым» считают уровень «вовлеченных» СЛЦ ≥100 мг/л. Соотношение κ/λ СЛЦ также должно быть аномальным.</w:t>
      </w:r>
    </w:p>
    <w:p w:rsidR="00E778E9" w:rsidRPr="009D3148" w:rsidRDefault="00E778E9" w:rsidP="00E778E9">
      <w:pPr>
        <w:tabs>
          <w:tab w:val="left" w:pos="900"/>
        </w:tabs>
        <w:spacing w:before="0" w:after="0"/>
        <w:ind w:right="-55" w:firstLine="709"/>
        <w:contextualSpacing/>
        <w:rPr>
          <w:rFonts w:eastAsia="Times New Roman"/>
        </w:rPr>
      </w:pPr>
      <w:r w:rsidRPr="009D3148">
        <w:rPr>
          <w:rFonts w:eastAsia="Times New Roman"/>
        </w:rPr>
        <w:t>Нормальное соотношение κ/λ СЛЦ составляет 0,26</w:t>
      </w:r>
      <w:r>
        <w:rPr>
          <w:rFonts w:eastAsia="Times New Roman"/>
        </w:rPr>
        <w:t>‒</w:t>
      </w:r>
      <w:r w:rsidRPr="009D3148">
        <w:rPr>
          <w:rFonts w:eastAsia="Times New Roman"/>
        </w:rPr>
        <w:t>1,65. У пациентов с почечной недостаточностью нормальным соотношением κ/λ СЛЦ считается 0,37</w:t>
      </w:r>
      <w:r>
        <w:rPr>
          <w:rFonts w:eastAsia="Times New Roman"/>
        </w:rPr>
        <w:t>‒</w:t>
      </w:r>
      <w:r w:rsidRPr="009D3148">
        <w:rPr>
          <w:rFonts w:eastAsia="Times New Roman"/>
        </w:rPr>
        <w:t>-3,1.</w:t>
      </w:r>
    </w:p>
    <w:p w:rsidR="00E778E9" w:rsidRPr="009D3148" w:rsidRDefault="00E778E9" w:rsidP="00E778E9">
      <w:pPr>
        <w:shd w:val="clear" w:color="auto" w:fill="FFFFFF"/>
        <w:tabs>
          <w:tab w:val="left" w:pos="900"/>
        </w:tabs>
        <w:spacing w:before="0" w:after="0"/>
        <w:ind w:firstLine="709"/>
        <w:contextualSpacing/>
        <w:rPr>
          <w:rFonts w:eastAsia="Times New Roman"/>
        </w:rPr>
      </w:pPr>
      <w:r w:rsidRPr="009D3148">
        <w:rPr>
          <w:rFonts w:eastAsia="Times New Roman"/>
          <w:u w:val="single"/>
        </w:rPr>
        <w:t xml:space="preserve">Полный ответ </w:t>
      </w:r>
      <w:r>
        <w:rPr>
          <w:rFonts w:eastAsia="Times New Roman"/>
          <w:u w:val="single"/>
        </w:rPr>
        <w:t>(полная ремиссия) (ПР)</w:t>
      </w:r>
      <w:r w:rsidRPr="009D3148">
        <w:rPr>
          <w:rFonts w:eastAsia="Times New Roman"/>
          <w:u w:val="single"/>
        </w:rPr>
        <w:t>:</w:t>
      </w:r>
      <w:r w:rsidRPr="009D3148">
        <w:rPr>
          <w:rFonts w:eastAsia="Times New Roman"/>
        </w:rPr>
        <w:t xml:space="preserve"> диагностируется при отсутствии парапротеина в сыворотке и моче по данным иммунофиксации. Количество плазматических клеток в миелограмме должно быть </w:t>
      </w:r>
      <w:r w:rsidRPr="000B4176">
        <w:rPr>
          <w:rFonts w:eastAsia="Times New Roman"/>
        </w:rPr>
        <w:t>&lt;</w:t>
      </w:r>
      <w:r w:rsidRPr="009D3148">
        <w:rPr>
          <w:rFonts w:eastAsia="Times New Roman"/>
        </w:rPr>
        <w:t>5</w:t>
      </w:r>
      <w:r>
        <w:rPr>
          <w:rFonts w:eastAsia="Times New Roman"/>
          <w:lang w:val="en-US"/>
        </w:rPr>
        <w:t> </w:t>
      </w:r>
      <w:r>
        <w:rPr>
          <w:rFonts w:eastAsia="Times New Roman"/>
        </w:rPr>
        <w:t>%. Мягкотка</w:t>
      </w:r>
      <w:r w:rsidRPr="009D3148">
        <w:rPr>
          <w:rFonts w:eastAsia="Times New Roman"/>
        </w:rPr>
        <w:t>ные</w:t>
      </w:r>
      <w:r w:rsidRPr="000B4176">
        <w:rPr>
          <w:rFonts w:eastAsia="Times New Roman"/>
        </w:rPr>
        <w:t xml:space="preserve"> </w:t>
      </w:r>
      <w:r w:rsidRPr="009D3148">
        <w:rPr>
          <w:rFonts w:eastAsia="Times New Roman"/>
        </w:rPr>
        <w:t xml:space="preserve">плазмоцитомы при </w:t>
      </w:r>
      <w:r>
        <w:rPr>
          <w:rFonts w:eastAsia="Times New Roman"/>
        </w:rPr>
        <w:t>ПР</w:t>
      </w:r>
      <w:r w:rsidRPr="009D3148">
        <w:rPr>
          <w:rFonts w:eastAsia="Times New Roman"/>
        </w:rPr>
        <w:t xml:space="preserve"> отсутствуют.</w:t>
      </w:r>
    </w:p>
    <w:p w:rsidR="00E778E9" w:rsidRPr="009D3148" w:rsidRDefault="00E778E9" w:rsidP="00E778E9">
      <w:pPr>
        <w:tabs>
          <w:tab w:val="left" w:pos="900"/>
        </w:tabs>
        <w:spacing w:before="0" w:after="0"/>
        <w:ind w:firstLine="709"/>
        <w:contextualSpacing/>
      </w:pPr>
      <w:r w:rsidRPr="009D3148">
        <w:t xml:space="preserve">При миеломе, «измеряемой» только по уровню СЛЦ, для оценки эффекта используется метод определения уровня СЛЦ </w:t>
      </w:r>
      <w:r w:rsidRPr="009D3148">
        <w:rPr>
          <w:lang w:val="en-US"/>
        </w:rPr>
        <w:t>Freelite</w:t>
      </w:r>
      <w:r w:rsidRPr="009D3148">
        <w:t>. Для установления ПР необходимо нормальное соотношение СЛЦ κ/λ (0,26</w:t>
      </w:r>
      <w:r>
        <w:t>‒</w:t>
      </w:r>
      <w:r w:rsidRPr="009D3148">
        <w:t>1,65).</w:t>
      </w:r>
    </w:p>
    <w:p w:rsidR="00E778E9" w:rsidRPr="009D3148" w:rsidRDefault="00E778E9" w:rsidP="00E778E9">
      <w:pPr>
        <w:shd w:val="clear" w:color="auto" w:fill="FFFFFF"/>
        <w:tabs>
          <w:tab w:val="left" w:pos="900"/>
        </w:tabs>
        <w:spacing w:before="0" w:after="0"/>
        <w:ind w:firstLine="709"/>
        <w:contextualSpacing/>
        <w:rPr>
          <w:rFonts w:eastAsia="Times New Roman"/>
        </w:rPr>
      </w:pPr>
      <w:r w:rsidRPr="009D3148">
        <w:rPr>
          <w:rFonts w:eastAsia="Times New Roman"/>
          <w:u w:val="single"/>
        </w:rPr>
        <w:t xml:space="preserve">Строгий полный ответ (строгая </w:t>
      </w:r>
      <w:r>
        <w:rPr>
          <w:rFonts w:eastAsia="Times New Roman"/>
          <w:u w:val="single"/>
        </w:rPr>
        <w:t>ПР</w:t>
      </w:r>
      <w:r w:rsidRPr="009D3148">
        <w:rPr>
          <w:rFonts w:eastAsia="Times New Roman"/>
          <w:u w:val="single"/>
        </w:rPr>
        <w:t>):</w:t>
      </w:r>
      <w:r w:rsidRPr="009D3148">
        <w:rPr>
          <w:rFonts w:eastAsia="Times New Roman"/>
        </w:rPr>
        <w:t xml:space="preserve"> </w:t>
      </w:r>
      <w:r>
        <w:rPr>
          <w:rFonts w:eastAsia="Times New Roman"/>
        </w:rPr>
        <w:t>ПР</w:t>
      </w:r>
      <w:r w:rsidRPr="009D3148">
        <w:rPr>
          <w:rFonts w:eastAsia="Times New Roman"/>
        </w:rPr>
        <w:t xml:space="preserve"> при нормальном соотношении СЛЦ и отсутствии клональных плазматических клеток в костном мозге по данным иммуногистохимического или иммунофл</w:t>
      </w:r>
      <w:r>
        <w:rPr>
          <w:rFonts w:eastAsia="Times New Roman"/>
        </w:rPr>
        <w:t>у</w:t>
      </w:r>
      <w:r w:rsidRPr="009D3148">
        <w:rPr>
          <w:rFonts w:eastAsia="Times New Roman"/>
        </w:rPr>
        <w:t>оресцентного методов.</w:t>
      </w:r>
    </w:p>
    <w:p w:rsidR="00E778E9" w:rsidRPr="009D3148" w:rsidRDefault="00E778E9" w:rsidP="00E778E9">
      <w:pPr>
        <w:tabs>
          <w:tab w:val="left" w:pos="900"/>
        </w:tabs>
        <w:spacing w:before="0" w:after="0"/>
        <w:ind w:firstLine="709"/>
        <w:contextualSpacing/>
        <w:rPr>
          <w:color w:val="FF0000"/>
        </w:rPr>
      </w:pPr>
      <w:r w:rsidRPr="009D3148">
        <w:rPr>
          <w:rFonts w:eastAsia="Times New Roman"/>
          <w:u w:val="single"/>
        </w:rPr>
        <w:t>Очень хороший частичный ответ (очень хорошая частичная ремиссия)</w:t>
      </w:r>
      <w:r w:rsidRPr="00B1461F">
        <w:rPr>
          <w:rFonts w:eastAsia="Times New Roman"/>
          <w:u w:val="single"/>
        </w:rPr>
        <w:t xml:space="preserve"> (</w:t>
      </w:r>
      <w:r>
        <w:rPr>
          <w:rFonts w:eastAsia="Times New Roman"/>
          <w:u w:val="single"/>
        </w:rPr>
        <w:t>ОХЧР)</w:t>
      </w:r>
      <w:r w:rsidRPr="009D3148">
        <w:rPr>
          <w:rFonts w:eastAsia="Times New Roman"/>
          <w:u w:val="single"/>
        </w:rPr>
        <w:t xml:space="preserve">: </w:t>
      </w:r>
      <w:r w:rsidRPr="009D3148">
        <w:rPr>
          <w:rFonts w:eastAsia="Times New Roman"/>
        </w:rPr>
        <w:t xml:space="preserve">М-протеин в сыворотке крови и моче определяется только при иммунофиксации, но не при электрофорезе или отмечается снижение уровня М-протеина в сыворотке на </w:t>
      </w:r>
      <w:r>
        <w:rPr>
          <w:rFonts w:eastAsia="Times New Roman"/>
        </w:rPr>
        <w:t>≥</w:t>
      </w:r>
      <w:r w:rsidRPr="009D3148">
        <w:rPr>
          <w:rFonts w:eastAsia="Times New Roman"/>
        </w:rPr>
        <w:t>90</w:t>
      </w:r>
      <w:r>
        <w:rPr>
          <w:rFonts w:eastAsia="Times New Roman"/>
        </w:rPr>
        <w:t> </w:t>
      </w:r>
      <w:r w:rsidRPr="009D3148">
        <w:rPr>
          <w:rFonts w:eastAsia="Times New Roman"/>
        </w:rPr>
        <w:t xml:space="preserve">%, а М-протеина в моче до уровня </w:t>
      </w:r>
      <w:r w:rsidRPr="000B4176">
        <w:rPr>
          <w:rFonts w:eastAsia="Times New Roman"/>
        </w:rPr>
        <w:t>&lt;</w:t>
      </w:r>
      <w:r w:rsidRPr="009D3148">
        <w:rPr>
          <w:rFonts w:eastAsia="Times New Roman"/>
        </w:rPr>
        <w:t xml:space="preserve">100 мг/сут. </w:t>
      </w:r>
      <w:r w:rsidRPr="009D3148">
        <w:t>Для болезни, «измеряемой» только по уровню СЛЦ, требуется снижение разницы уровня «вовлеченных» и «невовлеченных» СЛЦ на 90</w:t>
      </w:r>
      <w:r>
        <w:rPr>
          <w:lang w:val="en-US"/>
        </w:rPr>
        <w:t> </w:t>
      </w:r>
      <w:r w:rsidRPr="009D3148">
        <w:t>% и более.</w:t>
      </w:r>
    </w:p>
    <w:p w:rsidR="00E778E9" w:rsidRPr="009D3148" w:rsidRDefault="00E778E9" w:rsidP="00E778E9">
      <w:pPr>
        <w:tabs>
          <w:tab w:val="left" w:pos="900"/>
        </w:tabs>
        <w:spacing w:before="0" w:after="0"/>
        <w:ind w:firstLine="709"/>
        <w:contextualSpacing/>
        <w:rPr>
          <w:shd w:val="clear" w:color="auto" w:fill="B8CCE4"/>
        </w:rPr>
      </w:pPr>
      <w:r w:rsidRPr="009D3148">
        <w:rPr>
          <w:rFonts w:eastAsia="Times New Roman"/>
          <w:u w:val="single"/>
        </w:rPr>
        <w:lastRenderedPageBreak/>
        <w:t>Частичный ответ (частичная ремиссия)</w:t>
      </w:r>
      <w:r>
        <w:rPr>
          <w:rFonts w:eastAsia="Times New Roman"/>
          <w:u w:val="single"/>
        </w:rPr>
        <w:t xml:space="preserve"> (ЧР)</w:t>
      </w:r>
      <w:r w:rsidRPr="009D3148">
        <w:rPr>
          <w:rFonts w:eastAsia="Times New Roman"/>
          <w:u w:val="single"/>
        </w:rPr>
        <w:t>:</w:t>
      </w:r>
      <w:r w:rsidRPr="009D3148">
        <w:rPr>
          <w:rFonts w:eastAsia="Times New Roman"/>
        </w:rPr>
        <w:t xml:space="preserve"> уровень М-градиента в сыворотке должен уменьшиться на </w:t>
      </w:r>
      <w:r>
        <w:rPr>
          <w:rFonts w:eastAsia="Times New Roman"/>
        </w:rPr>
        <w:t>≥</w:t>
      </w:r>
      <w:r w:rsidRPr="009D3148">
        <w:rPr>
          <w:rFonts w:eastAsia="Times New Roman"/>
        </w:rPr>
        <w:t>50</w:t>
      </w:r>
      <w:r>
        <w:rPr>
          <w:rFonts w:eastAsia="Times New Roman"/>
          <w:lang w:val="en-US"/>
        </w:rPr>
        <w:t> </w:t>
      </w:r>
      <w:r w:rsidRPr="009D3148">
        <w:rPr>
          <w:rFonts w:eastAsia="Times New Roman"/>
        </w:rPr>
        <w:t xml:space="preserve">%, а в моче на </w:t>
      </w:r>
      <w:r>
        <w:rPr>
          <w:rFonts w:eastAsia="Times New Roman"/>
        </w:rPr>
        <w:t>≥</w:t>
      </w:r>
      <w:r w:rsidRPr="009D3148">
        <w:rPr>
          <w:rFonts w:eastAsia="Times New Roman"/>
        </w:rPr>
        <w:t>90</w:t>
      </w:r>
      <w:r>
        <w:rPr>
          <w:rFonts w:eastAsia="Times New Roman"/>
          <w:lang w:val="en-US"/>
        </w:rPr>
        <w:t> </w:t>
      </w:r>
      <w:r w:rsidRPr="009D3148">
        <w:rPr>
          <w:rFonts w:eastAsia="Times New Roman"/>
        </w:rPr>
        <w:t xml:space="preserve">%, или абсолютное количество М-протеина в моче должно быть </w:t>
      </w:r>
      <w:r w:rsidRPr="000B4176">
        <w:rPr>
          <w:rFonts w:eastAsia="Times New Roman"/>
        </w:rPr>
        <w:t>&lt;</w:t>
      </w:r>
      <w:r w:rsidRPr="009D3148">
        <w:rPr>
          <w:rFonts w:eastAsia="Times New Roman"/>
        </w:rPr>
        <w:t>200 мг/сут. Размеры мягкотканых</w:t>
      </w:r>
      <w:r w:rsidRPr="000B4176">
        <w:rPr>
          <w:rFonts w:eastAsia="Times New Roman"/>
        </w:rPr>
        <w:t xml:space="preserve"> </w:t>
      </w:r>
      <w:r w:rsidRPr="009D3148">
        <w:rPr>
          <w:rFonts w:eastAsia="Times New Roman"/>
        </w:rPr>
        <w:t>плазмоцитом</w:t>
      </w:r>
      <w:r w:rsidRPr="000B4176">
        <w:rPr>
          <w:rFonts w:eastAsia="Times New Roman"/>
        </w:rPr>
        <w:t xml:space="preserve"> </w:t>
      </w:r>
      <w:r w:rsidRPr="009D3148">
        <w:rPr>
          <w:rFonts w:eastAsia="Times New Roman"/>
        </w:rPr>
        <w:t xml:space="preserve">должны уменьшиться на </w:t>
      </w:r>
      <w:r>
        <w:rPr>
          <w:rFonts w:eastAsia="Times New Roman"/>
        </w:rPr>
        <w:t>≥</w:t>
      </w:r>
      <w:r w:rsidRPr="009D3148">
        <w:rPr>
          <w:rFonts w:eastAsia="Times New Roman"/>
        </w:rPr>
        <w:t>50</w:t>
      </w:r>
      <w:r>
        <w:rPr>
          <w:rFonts w:eastAsia="Times New Roman"/>
          <w:lang w:val="en-US"/>
        </w:rPr>
        <w:t> </w:t>
      </w:r>
      <w:r w:rsidRPr="009D3148">
        <w:rPr>
          <w:rFonts w:eastAsia="Times New Roman"/>
        </w:rPr>
        <w:t xml:space="preserve">%. </w:t>
      </w:r>
      <w:r w:rsidRPr="009D3148">
        <w:t xml:space="preserve">При миеломе, «измеряемой» только по уровню СЛЦ, </w:t>
      </w:r>
      <w:r>
        <w:t>ч</w:t>
      </w:r>
      <w:r w:rsidRPr="009D3148">
        <w:t>астичный ответ устанавливается при снижении разницы уровня «вовлеченных» и «невовлеченных» СЛЦ на 50</w:t>
      </w:r>
      <w:r>
        <w:t> </w:t>
      </w:r>
      <w:r w:rsidRPr="009D3148">
        <w:t>%.</w:t>
      </w:r>
    </w:p>
    <w:p w:rsidR="00E778E9" w:rsidRPr="009D3148" w:rsidRDefault="00E778E9" w:rsidP="00E778E9">
      <w:pPr>
        <w:tabs>
          <w:tab w:val="left" w:pos="900"/>
        </w:tabs>
        <w:spacing w:before="0" w:after="0"/>
        <w:ind w:firstLine="709"/>
        <w:contextualSpacing/>
        <w:rPr>
          <w:rFonts w:eastAsia="Times New Roman"/>
        </w:rPr>
      </w:pPr>
      <w:r w:rsidRPr="009D3148">
        <w:rPr>
          <w:rFonts w:eastAsia="Times New Roman"/>
          <w:u w:val="single"/>
        </w:rPr>
        <w:t>Стабилизация:</w:t>
      </w:r>
      <w:r w:rsidRPr="009D3148">
        <w:rPr>
          <w:rFonts w:eastAsia="Times New Roman"/>
        </w:rPr>
        <w:t xml:space="preserve"> несоответствие показателей критериям ПР, ОХЧР, ЧР или прогрессирования миеломы.   </w:t>
      </w:r>
    </w:p>
    <w:p w:rsidR="00E778E9" w:rsidRPr="009D3148" w:rsidRDefault="00E778E9" w:rsidP="00E778E9">
      <w:pPr>
        <w:tabs>
          <w:tab w:val="left" w:pos="900"/>
        </w:tabs>
        <w:spacing w:before="0" w:after="0"/>
        <w:ind w:firstLine="709"/>
        <w:contextualSpacing/>
        <w:rPr>
          <w:rFonts w:eastAsia="Times New Roman"/>
        </w:rPr>
      </w:pPr>
      <w:r w:rsidRPr="009D3148">
        <w:rPr>
          <w:rFonts w:eastAsia="Times New Roman"/>
          <w:u w:val="single"/>
        </w:rPr>
        <w:t>Прогрессия заболевания:</w:t>
      </w:r>
      <w:r w:rsidRPr="009D3148">
        <w:rPr>
          <w:rFonts w:eastAsia="Times New Roman"/>
        </w:rPr>
        <w:t xml:space="preserve"> повышение уровня М-градиента на </w:t>
      </w:r>
      <w:r>
        <w:rPr>
          <w:rFonts w:eastAsia="Times New Roman"/>
        </w:rPr>
        <w:t>≥</w:t>
      </w:r>
      <w:r w:rsidRPr="009D3148">
        <w:rPr>
          <w:rFonts w:eastAsia="Times New Roman"/>
        </w:rPr>
        <w:t>25</w:t>
      </w:r>
      <w:r>
        <w:rPr>
          <w:rFonts w:eastAsia="Times New Roman"/>
        </w:rPr>
        <w:t> </w:t>
      </w:r>
      <w:r w:rsidRPr="009D3148">
        <w:rPr>
          <w:rFonts w:eastAsia="Times New Roman"/>
        </w:rPr>
        <w:t xml:space="preserve">% от наименьшего достигнутого уровня в сыворотке (увеличение на </w:t>
      </w:r>
      <w:r>
        <w:rPr>
          <w:rFonts w:eastAsia="Times New Roman"/>
        </w:rPr>
        <w:t>≥</w:t>
      </w:r>
      <w:r w:rsidRPr="009D3148">
        <w:rPr>
          <w:rFonts w:eastAsia="Times New Roman"/>
        </w:rPr>
        <w:t xml:space="preserve">5 г/л), в моче (увеличение на </w:t>
      </w:r>
      <w:r>
        <w:rPr>
          <w:rFonts w:eastAsia="Times New Roman"/>
        </w:rPr>
        <w:t>≥</w:t>
      </w:r>
      <w:r w:rsidRPr="009D3148">
        <w:rPr>
          <w:rFonts w:eastAsia="Times New Roman"/>
        </w:rPr>
        <w:t>200 мг/сут).</w:t>
      </w:r>
      <w:r w:rsidRPr="009D3148">
        <w:t xml:space="preserve"> Для пациентов с «неизмеряемой» болезнью </w:t>
      </w:r>
      <w:r w:rsidRPr="009D3148">
        <w:rPr>
          <w:lang w:val="en-US"/>
        </w:rPr>
        <w:t>c</w:t>
      </w:r>
      <w:r w:rsidRPr="009D3148">
        <w:t>тандартными иммунохимическими методами, но «измеряемой» только по уровню СЛЦ</w:t>
      </w:r>
      <w:r>
        <w:t>,</w:t>
      </w:r>
      <w:r w:rsidRPr="009D3148">
        <w:t xml:space="preserve">  прогрессирование устанавливается при увеличении разницы между «вовлеченными» и «невовлеченными» СЛЦ на 100 мг/л. Также о прогрессировании свидетельству</w:t>
      </w:r>
      <w:r>
        <w:t>ю</w:t>
      </w:r>
      <w:r w:rsidRPr="009D3148">
        <w:t xml:space="preserve">т </w:t>
      </w:r>
      <w:r w:rsidRPr="009D3148">
        <w:rPr>
          <w:rFonts w:eastAsia="Times New Roman"/>
        </w:rPr>
        <w:t xml:space="preserve"> увеличение числа плазматических клеток в костном мозге (абсолютное число – не менее 10</w:t>
      </w:r>
      <w:r>
        <w:rPr>
          <w:rFonts w:eastAsia="Times New Roman"/>
        </w:rPr>
        <w:t> </w:t>
      </w:r>
      <w:r w:rsidRPr="009D3148">
        <w:rPr>
          <w:rFonts w:eastAsia="Times New Roman"/>
        </w:rPr>
        <w:t>%), появление новых очагов в костях или увеличение размеров ранее определяемых, появление мягкотканых</w:t>
      </w:r>
      <w:r>
        <w:rPr>
          <w:rFonts w:eastAsia="Times New Roman"/>
        </w:rPr>
        <w:t xml:space="preserve"> </w:t>
      </w:r>
      <w:r w:rsidRPr="009D3148">
        <w:rPr>
          <w:rFonts w:eastAsia="Times New Roman"/>
        </w:rPr>
        <w:t xml:space="preserve">плазмоцитом или увеличение их размеров, гиперкальциемия (скоррегированный уровень кальция сыворотки </w:t>
      </w:r>
      <w:r w:rsidRPr="000B4176">
        <w:rPr>
          <w:rFonts w:eastAsia="Times New Roman"/>
        </w:rPr>
        <w:t>&gt;</w:t>
      </w:r>
      <w:r w:rsidRPr="009D3148">
        <w:rPr>
          <w:rFonts w:eastAsia="Times New Roman"/>
        </w:rPr>
        <w:t>11,5 мг/дл или 2,65 ммоль/л), которую можно связать с плазмоклеточной пролиферацией.</w:t>
      </w:r>
    </w:p>
    <w:p w:rsidR="00E778E9" w:rsidRPr="00E36DFA" w:rsidRDefault="00E778E9" w:rsidP="00E36DFA">
      <w:pPr>
        <w:ind w:firstLine="709"/>
        <w:rPr>
          <w:b/>
        </w:rPr>
      </w:pPr>
    </w:p>
    <w:p w:rsidR="004D7374" w:rsidRPr="00E36DFA" w:rsidRDefault="004D7374">
      <w:pPr>
        <w:pStyle w:val="1"/>
      </w:pPr>
      <w:bookmarkStart w:id="45" w:name="_Toc24826829"/>
      <w:r w:rsidRPr="00E36DFA">
        <w:lastRenderedPageBreak/>
        <w:t>Критерии оценки качества медицинской помощи</w:t>
      </w:r>
      <w:bookmarkEnd w:id="37"/>
      <w:bookmarkEnd w:id="45"/>
    </w:p>
    <w:tbl>
      <w:tblPr>
        <w:tblW w:w="10617" w:type="dxa"/>
        <w:jc w:val="center"/>
        <w:tblLayout w:type="fixed"/>
        <w:tblCellMar>
          <w:top w:w="15" w:type="dxa"/>
          <w:left w:w="15" w:type="dxa"/>
          <w:bottom w:w="15" w:type="dxa"/>
          <w:right w:w="15" w:type="dxa"/>
        </w:tblCellMar>
        <w:tblLook w:val="04A0" w:firstRow="1" w:lastRow="0" w:firstColumn="1" w:lastColumn="0" w:noHBand="0" w:noVBand="1"/>
      </w:tblPr>
      <w:tblGrid>
        <w:gridCol w:w="582"/>
        <w:gridCol w:w="7371"/>
        <w:gridCol w:w="1276"/>
        <w:gridCol w:w="1388"/>
      </w:tblGrid>
      <w:tr w:rsidR="00196228" w:rsidRPr="00890289" w:rsidTr="00E36DFA">
        <w:trPr>
          <w:trHeight w:val="1534"/>
          <w:jc w:val="center"/>
        </w:trPr>
        <w:tc>
          <w:tcPr>
            <w:tcW w:w="582" w:type="dxa"/>
            <w:tcBorders>
              <w:top w:val="single" w:sz="6" w:space="0" w:color="000000"/>
              <w:left w:val="single" w:sz="6" w:space="0" w:color="000000"/>
              <w:bottom w:val="single" w:sz="6" w:space="0" w:color="000000"/>
              <w:right w:val="single" w:sz="6" w:space="0" w:color="000000"/>
            </w:tcBorders>
            <w:vAlign w:val="center"/>
            <w:hideMark/>
          </w:tcPr>
          <w:p w:rsidR="00196228" w:rsidRPr="00E259B8" w:rsidRDefault="00196228" w:rsidP="00E36DFA">
            <w:pPr>
              <w:pStyle w:val="a3"/>
              <w:spacing w:before="0" w:beforeAutospacing="0" w:after="0" w:afterAutospacing="0" w:line="360" w:lineRule="auto"/>
              <w:ind w:left="113" w:right="113"/>
            </w:pPr>
            <w:r w:rsidRPr="00E259B8">
              <w:t>№</w:t>
            </w:r>
          </w:p>
        </w:tc>
        <w:tc>
          <w:tcPr>
            <w:tcW w:w="7371" w:type="dxa"/>
            <w:tcBorders>
              <w:top w:val="single" w:sz="6" w:space="0" w:color="000000"/>
              <w:left w:val="single" w:sz="6" w:space="0" w:color="000000"/>
              <w:bottom w:val="single" w:sz="6" w:space="0" w:color="000000"/>
              <w:right w:val="single" w:sz="6" w:space="0" w:color="000000"/>
            </w:tcBorders>
            <w:vAlign w:val="center"/>
            <w:hideMark/>
          </w:tcPr>
          <w:p w:rsidR="00196228" w:rsidRPr="00E259B8" w:rsidRDefault="00196228" w:rsidP="00E36DFA">
            <w:pPr>
              <w:pStyle w:val="a3"/>
              <w:spacing w:before="0" w:beforeAutospacing="0" w:after="0" w:afterAutospacing="0" w:line="240" w:lineRule="auto"/>
              <w:ind w:left="113" w:right="113"/>
              <w:jc w:val="center"/>
            </w:pPr>
            <w:r w:rsidRPr="00E259B8">
              <w:rPr>
                <w:rStyle w:val="ab"/>
              </w:rPr>
              <w:t>Критерии качества</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196228" w:rsidRPr="00E259B8" w:rsidRDefault="00196228" w:rsidP="00E36DFA">
            <w:pPr>
              <w:pStyle w:val="a3"/>
              <w:spacing w:before="0" w:beforeAutospacing="0" w:after="0" w:afterAutospacing="0" w:line="240" w:lineRule="auto"/>
              <w:ind w:left="113" w:right="113"/>
              <w:jc w:val="center"/>
            </w:pPr>
            <w:r w:rsidRPr="00E259B8">
              <w:rPr>
                <w:rStyle w:val="ab"/>
              </w:rPr>
              <w:t>Уровень достоверности доказательств</w:t>
            </w:r>
          </w:p>
        </w:tc>
        <w:tc>
          <w:tcPr>
            <w:tcW w:w="1388" w:type="dxa"/>
            <w:tcBorders>
              <w:top w:val="single" w:sz="6" w:space="0" w:color="000000"/>
              <w:left w:val="single" w:sz="6" w:space="0" w:color="000000"/>
              <w:bottom w:val="single" w:sz="6" w:space="0" w:color="000000"/>
              <w:right w:val="single" w:sz="6" w:space="0" w:color="000000"/>
            </w:tcBorders>
            <w:vAlign w:val="center"/>
            <w:hideMark/>
          </w:tcPr>
          <w:p w:rsidR="00196228" w:rsidRPr="00E259B8" w:rsidRDefault="00196228" w:rsidP="00E36DFA">
            <w:pPr>
              <w:pStyle w:val="a3"/>
              <w:spacing w:before="0" w:beforeAutospacing="0" w:after="0" w:afterAutospacing="0" w:line="240" w:lineRule="auto"/>
              <w:ind w:left="113" w:right="113"/>
              <w:jc w:val="center"/>
            </w:pPr>
            <w:r w:rsidRPr="00E259B8">
              <w:rPr>
                <w:rStyle w:val="ab"/>
              </w:rPr>
              <w:t>Уровень убедительности рекомендаций</w:t>
            </w:r>
          </w:p>
        </w:tc>
      </w:tr>
      <w:tr w:rsidR="00196228" w:rsidRPr="00890289"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hideMark/>
          </w:tcPr>
          <w:p w:rsidR="00196228" w:rsidRPr="00E259B8" w:rsidRDefault="00196228" w:rsidP="00E36DFA">
            <w:pPr>
              <w:pStyle w:val="a3"/>
              <w:spacing w:before="0" w:beforeAutospacing="0" w:after="0" w:afterAutospacing="0" w:line="360" w:lineRule="auto"/>
              <w:ind w:left="113" w:right="113"/>
            </w:pPr>
            <w:r w:rsidRPr="00E259B8">
              <w:t>1</w:t>
            </w:r>
          </w:p>
        </w:tc>
        <w:tc>
          <w:tcPr>
            <w:tcW w:w="7371" w:type="dxa"/>
            <w:tcBorders>
              <w:top w:val="single" w:sz="6" w:space="0" w:color="000000"/>
              <w:left w:val="single" w:sz="6" w:space="0" w:color="000000"/>
              <w:bottom w:val="single" w:sz="6" w:space="0" w:color="000000"/>
              <w:right w:val="single" w:sz="6" w:space="0" w:color="000000"/>
            </w:tcBorders>
            <w:vAlign w:val="center"/>
          </w:tcPr>
          <w:p w:rsidR="00196228" w:rsidRPr="00890289" w:rsidRDefault="00931752" w:rsidP="00E36DFA">
            <w:pPr>
              <w:spacing w:before="0" w:after="0" w:line="240" w:lineRule="auto"/>
              <w:ind w:left="113" w:right="113"/>
              <w:rPr>
                <w:szCs w:val="24"/>
              </w:rPr>
            </w:pPr>
            <w:r w:rsidRPr="00890289">
              <w:rPr>
                <w:szCs w:val="24"/>
              </w:rPr>
              <w:t xml:space="preserve">Пациенту </w:t>
            </w:r>
            <w:r w:rsidR="0040125D" w:rsidRPr="00890289">
              <w:rPr>
                <w:szCs w:val="24"/>
              </w:rPr>
              <w:t>с подозрением на ММ или выявленной ММ при первичном или повторном приеме, при контрольных обследованиях и при подозрении на рецидив заболевания выполн</w:t>
            </w:r>
            <w:r w:rsidRPr="00890289">
              <w:rPr>
                <w:szCs w:val="24"/>
              </w:rPr>
              <w:t>ен</w:t>
            </w:r>
            <w:r w:rsidR="0040125D" w:rsidRPr="00890289">
              <w:rPr>
                <w:szCs w:val="24"/>
              </w:rPr>
              <w:t xml:space="preserve"> развернутый клинический анализ крови с определением </w:t>
            </w:r>
            <w:r w:rsidR="00C8444F" w:rsidRPr="00890289">
              <w:rPr>
                <w:szCs w:val="24"/>
              </w:rPr>
              <w:t xml:space="preserve">уровней </w:t>
            </w:r>
            <w:r w:rsidR="0040125D" w:rsidRPr="00890289">
              <w:rPr>
                <w:szCs w:val="24"/>
              </w:rPr>
              <w:t>гемоглобина, эритроцитов, тромбоцитов, лейкоцитов, подсчетом лейкоцитарной фор</w:t>
            </w:r>
            <w:r w:rsidR="00C8444F" w:rsidRPr="00890289">
              <w:rPr>
                <w:szCs w:val="24"/>
              </w:rPr>
              <w:t>мулы и количества ретикулоцитов</w:t>
            </w:r>
          </w:p>
        </w:tc>
        <w:tc>
          <w:tcPr>
            <w:tcW w:w="1276" w:type="dxa"/>
            <w:tcBorders>
              <w:top w:val="single" w:sz="6" w:space="0" w:color="000000"/>
              <w:left w:val="single" w:sz="6" w:space="0" w:color="000000"/>
              <w:bottom w:val="single" w:sz="6" w:space="0" w:color="000000"/>
              <w:right w:val="single" w:sz="6" w:space="0" w:color="000000"/>
            </w:tcBorders>
            <w:vAlign w:val="center"/>
          </w:tcPr>
          <w:p w:rsidR="00196228" w:rsidRPr="00E259B8" w:rsidRDefault="0040125D" w:rsidP="00E36DFA">
            <w:pPr>
              <w:pStyle w:val="a3"/>
              <w:spacing w:before="0" w:beforeAutospacing="0" w:after="0" w:afterAutospacing="0" w:line="240" w:lineRule="auto"/>
              <w:ind w:left="113" w:right="113"/>
              <w:jc w:val="center"/>
            </w:pPr>
            <w:r w:rsidRPr="00E259B8">
              <w:t>5</w:t>
            </w:r>
          </w:p>
        </w:tc>
        <w:tc>
          <w:tcPr>
            <w:tcW w:w="1388" w:type="dxa"/>
            <w:tcBorders>
              <w:top w:val="single" w:sz="6" w:space="0" w:color="000000"/>
              <w:left w:val="single" w:sz="6" w:space="0" w:color="000000"/>
              <w:bottom w:val="single" w:sz="6" w:space="0" w:color="000000"/>
              <w:right w:val="single" w:sz="6" w:space="0" w:color="000000"/>
            </w:tcBorders>
            <w:vAlign w:val="center"/>
          </w:tcPr>
          <w:p w:rsidR="00196228" w:rsidRPr="00E259B8" w:rsidRDefault="0040125D" w:rsidP="00E36DFA">
            <w:pPr>
              <w:pStyle w:val="a3"/>
              <w:spacing w:before="0" w:beforeAutospacing="0" w:after="0" w:afterAutospacing="0" w:line="240" w:lineRule="auto"/>
              <w:ind w:left="113" w:right="113"/>
              <w:jc w:val="center"/>
            </w:pPr>
            <w:r w:rsidRPr="00E259B8">
              <w:t>С</w:t>
            </w:r>
          </w:p>
        </w:tc>
      </w:tr>
      <w:tr w:rsidR="00196228" w:rsidRPr="00890289"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rsidR="00196228" w:rsidRPr="00E259B8" w:rsidRDefault="00196228" w:rsidP="00E36DFA">
            <w:pPr>
              <w:pStyle w:val="a3"/>
              <w:spacing w:before="0" w:beforeAutospacing="0" w:after="0" w:afterAutospacing="0" w:line="360" w:lineRule="auto"/>
              <w:ind w:left="113" w:right="113"/>
            </w:pPr>
            <w:r w:rsidRPr="00E259B8">
              <w:t>2</w:t>
            </w:r>
          </w:p>
        </w:tc>
        <w:tc>
          <w:tcPr>
            <w:tcW w:w="7371" w:type="dxa"/>
            <w:tcBorders>
              <w:top w:val="single" w:sz="6" w:space="0" w:color="000000"/>
              <w:left w:val="single" w:sz="6" w:space="0" w:color="000000"/>
              <w:bottom w:val="single" w:sz="6" w:space="0" w:color="000000"/>
              <w:right w:val="single" w:sz="6" w:space="0" w:color="000000"/>
            </w:tcBorders>
            <w:vAlign w:val="center"/>
          </w:tcPr>
          <w:p w:rsidR="00196228" w:rsidRPr="00890289" w:rsidRDefault="00931752" w:rsidP="00E36DFA">
            <w:pPr>
              <w:spacing w:before="0" w:after="0" w:line="240" w:lineRule="auto"/>
              <w:ind w:left="113" w:right="113"/>
              <w:rPr>
                <w:szCs w:val="24"/>
              </w:rPr>
            </w:pPr>
            <w:r w:rsidRPr="00890289">
              <w:rPr>
                <w:szCs w:val="24"/>
              </w:rPr>
              <w:t>П</w:t>
            </w:r>
            <w:r w:rsidR="0040125D" w:rsidRPr="00890289">
              <w:rPr>
                <w:szCs w:val="24"/>
              </w:rPr>
              <w:t>ациент</w:t>
            </w:r>
            <w:r w:rsidRPr="00890289">
              <w:rPr>
                <w:szCs w:val="24"/>
              </w:rPr>
              <w:t>у</w:t>
            </w:r>
            <w:r w:rsidR="0040125D" w:rsidRPr="00890289">
              <w:rPr>
                <w:szCs w:val="24"/>
              </w:rPr>
              <w:t xml:space="preserve"> с подозрением на ММ или выявленной ММ при первичном или повторном приеме, при контрольных обследованиях и при подозрении на рецидив заболевания выполн</w:t>
            </w:r>
            <w:r w:rsidRPr="00890289">
              <w:rPr>
                <w:szCs w:val="24"/>
              </w:rPr>
              <w:t xml:space="preserve">ен </w:t>
            </w:r>
            <w:r w:rsidR="00C8444F" w:rsidRPr="00890289">
              <w:rPr>
                <w:szCs w:val="24"/>
              </w:rPr>
              <w:t>общий (клинический) анализ мочи</w:t>
            </w:r>
          </w:p>
        </w:tc>
        <w:tc>
          <w:tcPr>
            <w:tcW w:w="1276" w:type="dxa"/>
            <w:tcBorders>
              <w:top w:val="single" w:sz="6" w:space="0" w:color="000000"/>
              <w:left w:val="single" w:sz="6" w:space="0" w:color="000000"/>
              <w:bottom w:val="single" w:sz="6" w:space="0" w:color="000000"/>
              <w:right w:val="single" w:sz="6" w:space="0" w:color="000000"/>
            </w:tcBorders>
            <w:vAlign w:val="center"/>
          </w:tcPr>
          <w:p w:rsidR="00196228" w:rsidRPr="00E259B8" w:rsidRDefault="0040125D" w:rsidP="00E36DFA">
            <w:pPr>
              <w:pStyle w:val="a3"/>
              <w:spacing w:before="0" w:beforeAutospacing="0" w:after="0" w:afterAutospacing="0" w:line="240" w:lineRule="auto"/>
              <w:ind w:left="113" w:right="113"/>
              <w:jc w:val="center"/>
            </w:pPr>
            <w:r w:rsidRPr="00E259B8">
              <w:t>5</w:t>
            </w:r>
          </w:p>
        </w:tc>
        <w:tc>
          <w:tcPr>
            <w:tcW w:w="1388" w:type="dxa"/>
            <w:tcBorders>
              <w:top w:val="single" w:sz="6" w:space="0" w:color="000000"/>
              <w:left w:val="single" w:sz="6" w:space="0" w:color="000000"/>
              <w:bottom w:val="single" w:sz="6" w:space="0" w:color="000000"/>
              <w:right w:val="single" w:sz="6" w:space="0" w:color="000000"/>
            </w:tcBorders>
            <w:vAlign w:val="center"/>
          </w:tcPr>
          <w:p w:rsidR="00196228" w:rsidRPr="00E259B8" w:rsidRDefault="0040125D" w:rsidP="00E36DFA">
            <w:pPr>
              <w:pStyle w:val="a3"/>
              <w:spacing w:before="0" w:beforeAutospacing="0" w:after="0" w:afterAutospacing="0" w:line="240" w:lineRule="auto"/>
              <w:ind w:left="113" w:right="113"/>
              <w:jc w:val="center"/>
            </w:pPr>
            <w:r w:rsidRPr="00E259B8">
              <w:t>С</w:t>
            </w:r>
          </w:p>
        </w:tc>
      </w:tr>
      <w:tr w:rsidR="00196228" w:rsidRPr="00890289"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rsidR="00196228" w:rsidRPr="00E259B8" w:rsidRDefault="00196228" w:rsidP="00E36DFA">
            <w:pPr>
              <w:pStyle w:val="a3"/>
              <w:spacing w:before="0" w:beforeAutospacing="0" w:after="0" w:afterAutospacing="0" w:line="360" w:lineRule="auto"/>
              <w:ind w:left="113" w:right="113"/>
            </w:pPr>
            <w:r w:rsidRPr="00E259B8">
              <w:t>3</w:t>
            </w:r>
          </w:p>
        </w:tc>
        <w:tc>
          <w:tcPr>
            <w:tcW w:w="7371" w:type="dxa"/>
            <w:tcBorders>
              <w:top w:val="single" w:sz="6" w:space="0" w:color="000000"/>
              <w:left w:val="single" w:sz="6" w:space="0" w:color="000000"/>
              <w:bottom w:val="single" w:sz="6" w:space="0" w:color="000000"/>
              <w:right w:val="single" w:sz="6" w:space="0" w:color="000000"/>
            </w:tcBorders>
            <w:vAlign w:val="center"/>
          </w:tcPr>
          <w:p w:rsidR="00196228" w:rsidRPr="00890289" w:rsidRDefault="00931752" w:rsidP="00E36DFA">
            <w:pPr>
              <w:spacing w:before="0" w:after="0" w:line="240" w:lineRule="auto"/>
              <w:ind w:left="113" w:right="113"/>
              <w:rPr>
                <w:szCs w:val="24"/>
              </w:rPr>
            </w:pPr>
            <w:r w:rsidRPr="00890289">
              <w:rPr>
                <w:szCs w:val="24"/>
              </w:rPr>
              <w:t xml:space="preserve">Пациенту </w:t>
            </w:r>
            <w:r w:rsidR="00A73F31" w:rsidRPr="00890289">
              <w:rPr>
                <w:szCs w:val="24"/>
              </w:rPr>
              <w:t>с подозрением на ММ или выявленной ММ при первичном или повторном приеме, при контрольных обследованиях и при подозрении на рецидив заболевания выполн</w:t>
            </w:r>
            <w:r w:rsidRPr="00890289">
              <w:rPr>
                <w:szCs w:val="24"/>
              </w:rPr>
              <w:t>ен</w:t>
            </w:r>
            <w:r w:rsidR="00C8444F" w:rsidRPr="00890289">
              <w:rPr>
                <w:szCs w:val="24"/>
              </w:rPr>
              <w:t xml:space="preserve"> </w:t>
            </w:r>
            <w:r w:rsidR="00673067" w:rsidRPr="00890289">
              <w:rPr>
                <w:szCs w:val="24"/>
              </w:rPr>
              <w:t xml:space="preserve">биохимический </w:t>
            </w:r>
            <w:r w:rsidR="00A73F31" w:rsidRPr="00890289">
              <w:rPr>
                <w:szCs w:val="24"/>
              </w:rPr>
              <w:t>анализ крови</w:t>
            </w:r>
            <w:r w:rsidR="00F6392B" w:rsidRPr="00890289">
              <w:t xml:space="preserve"> с определением показателей </w:t>
            </w:r>
            <w:r w:rsidR="00F6392B" w:rsidRPr="00890289">
              <w:rPr>
                <w:szCs w:val="24"/>
              </w:rPr>
              <w:t xml:space="preserve">ЛДГ, мочевины, креатинина, общего белка, альбумина, билирубина, </w:t>
            </w:r>
            <w:r w:rsidR="002E051F" w:rsidRPr="00890289">
              <w:rPr>
                <w:szCs w:val="24"/>
              </w:rPr>
              <w:t>аспартатаминотрансферазы</w:t>
            </w:r>
            <w:r w:rsidR="00F6392B" w:rsidRPr="00890289">
              <w:rPr>
                <w:szCs w:val="24"/>
              </w:rPr>
              <w:t xml:space="preserve">, </w:t>
            </w:r>
            <w:r w:rsidR="002E051F" w:rsidRPr="00890289">
              <w:rPr>
                <w:szCs w:val="24"/>
              </w:rPr>
              <w:t>аланинаминотрансферазы</w:t>
            </w:r>
            <w:r w:rsidR="00F6392B" w:rsidRPr="00890289">
              <w:rPr>
                <w:szCs w:val="24"/>
              </w:rPr>
              <w:t>, щелочной фосфатазы, кальция, калия</w:t>
            </w:r>
          </w:p>
        </w:tc>
        <w:tc>
          <w:tcPr>
            <w:tcW w:w="1276" w:type="dxa"/>
            <w:tcBorders>
              <w:top w:val="single" w:sz="6" w:space="0" w:color="000000"/>
              <w:left w:val="single" w:sz="6" w:space="0" w:color="000000"/>
              <w:bottom w:val="single" w:sz="6" w:space="0" w:color="000000"/>
              <w:right w:val="single" w:sz="6" w:space="0" w:color="000000"/>
            </w:tcBorders>
            <w:vAlign w:val="center"/>
          </w:tcPr>
          <w:p w:rsidR="00196228" w:rsidRPr="00E259B8" w:rsidRDefault="00A73F31" w:rsidP="00E36DFA">
            <w:pPr>
              <w:pStyle w:val="a3"/>
              <w:spacing w:before="0" w:beforeAutospacing="0" w:after="0" w:afterAutospacing="0" w:line="240" w:lineRule="auto"/>
              <w:ind w:left="113" w:right="113"/>
              <w:jc w:val="center"/>
            </w:pPr>
            <w:r w:rsidRPr="00E259B8">
              <w:t>5</w:t>
            </w:r>
          </w:p>
        </w:tc>
        <w:tc>
          <w:tcPr>
            <w:tcW w:w="1388" w:type="dxa"/>
            <w:tcBorders>
              <w:top w:val="single" w:sz="6" w:space="0" w:color="000000"/>
              <w:left w:val="single" w:sz="6" w:space="0" w:color="000000"/>
              <w:bottom w:val="single" w:sz="6" w:space="0" w:color="000000"/>
              <w:right w:val="single" w:sz="6" w:space="0" w:color="000000"/>
            </w:tcBorders>
            <w:vAlign w:val="center"/>
          </w:tcPr>
          <w:p w:rsidR="00196228" w:rsidRPr="00E259B8" w:rsidRDefault="00A73F31" w:rsidP="00E36DFA">
            <w:pPr>
              <w:pStyle w:val="a3"/>
              <w:spacing w:before="0" w:beforeAutospacing="0" w:after="0" w:afterAutospacing="0" w:line="240" w:lineRule="auto"/>
              <w:ind w:left="113" w:right="113"/>
              <w:jc w:val="center"/>
            </w:pPr>
            <w:r w:rsidRPr="00E259B8">
              <w:t>С</w:t>
            </w:r>
          </w:p>
        </w:tc>
      </w:tr>
      <w:tr w:rsidR="00196228" w:rsidRPr="00890289"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rsidR="00196228" w:rsidRPr="00E259B8" w:rsidRDefault="00196228" w:rsidP="00E36DFA">
            <w:pPr>
              <w:pStyle w:val="a3"/>
              <w:spacing w:before="0" w:beforeAutospacing="0" w:after="0" w:afterAutospacing="0" w:line="360" w:lineRule="auto"/>
              <w:ind w:left="113" w:right="113"/>
            </w:pPr>
            <w:r w:rsidRPr="00E259B8">
              <w:t>4</w:t>
            </w:r>
          </w:p>
        </w:tc>
        <w:tc>
          <w:tcPr>
            <w:tcW w:w="7371" w:type="dxa"/>
            <w:tcBorders>
              <w:top w:val="single" w:sz="6" w:space="0" w:color="000000"/>
              <w:left w:val="single" w:sz="6" w:space="0" w:color="000000"/>
              <w:bottom w:val="single" w:sz="6" w:space="0" w:color="000000"/>
              <w:right w:val="single" w:sz="6" w:space="0" w:color="000000"/>
            </w:tcBorders>
            <w:vAlign w:val="center"/>
          </w:tcPr>
          <w:p w:rsidR="00196228" w:rsidRPr="00890289" w:rsidRDefault="00331D28" w:rsidP="00E36DFA">
            <w:pPr>
              <w:spacing w:before="0" w:after="0" w:line="240" w:lineRule="auto"/>
              <w:ind w:left="113" w:right="113"/>
              <w:rPr>
                <w:szCs w:val="24"/>
              </w:rPr>
            </w:pPr>
            <w:r w:rsidRPr="00890289">
              <w:rPr>
                <w:szCs w:val="24"/>
              </w:rPr>
              <w:t xml:space="preserve">Пациенту </w:t>
            </w:r>
            <w:r w:rsidR="00A73F31" w:rsidRPr="00890289">
              <w:rPr>
                <w:szCs w:val="24"/>
              </w:rPr>
              <w:t>с подозрением на ММ или выявленной ММ при первичном или повторном приеме, при контрольных обследованиях и при подозрении на рецидив заболевания</w:t>
            </w:r>
            <w:r w:rsidRPr="00890289">
              <w:rPr>
                <w:szCs w:val="24"/>
              </w:rPr>
              <w:t xml:space="preserve"> выполнено </w:t>
            </w:r>
            <w:r w:rsidR="00A73F31" w:rsidRPr="00890289">
              <w:rPr>
                <w:szCs w:val="24"/>
              </w:rPr>
              <w:t>определ</w:t>
            </w:r>
            <w:r w:rsidRPr="00890289">
              <w:rPr>
                <w:szCs w:val="24"/>
              </w:rPr>
              <w:t>ение</w:t>
            </w:r>
            <w:r w:rsidR="00A73F31" w:rsidRPr="00890289">
              <w:rPr>
                <w:szCs w:val="24"/>
              </w:rPr>
              <w:t xml:space="preserve"> соотношени</w:t>
            </w:r>
            <w:r w:rsidRPr="00890289">
              <w:rPr>
                <w:szCs w:val="24"/>
              </w:rPr>
              <w:t>я</w:t>
            </w:r>
            <w:r w:rsidR="00A73F31" w:rsidRPr="00890289">
              <w:rPr>
                <w:szCs w:val="24"/>
              </w:rPr>
              <w:t xml:space="preserve"> белковых фракций в крови</w:t>
            </w:r>
            <w:r w:rsidR="00697269" w:rsidRPr="00890289">
              <w:rPr>
                <w:szCs w:val="24"/>
              </w:rPr>
              <w:t xml:space="preserve"> и моче</w:t>
            </w:r>
            <w:r w:rsidR="00A73F31" w:rsidRPr="00890289">
              <w:rPr>
                <w:szCs w:val="24"/>
              </w:rPr>
              <w:t xml:space="preserve"> методо</w:t>
            </w:r>
            <w:r w:rsidR="00AB72AF" w:rsidRPr="00890289">
              <w:rPr>
                <w:szCs w:val="24"/>
              </w:rPr>
              <w:t>м электрофореза</w:t>
            </w:r>
          </w:p>
        </w:tc>
        <w:tc>
          <w:tcPr>
            <w:tcW w:w="1276" w:type="dxa"/>
            <w:tcBorders>
              <w:top w:val="single" w:sz="6" w:space="0" w:color="000000"/>
              <w:left w:val="single" w:sz="6" w:space="0" w:color="000000"/>
              <w:bottom w:val="single" w:sz="6" w:space="0" w:color="000000"/>
              <w:right w:val="single" w:sz="6" w:space="0" w:color="000000"/>
            </w:tcBorders>
            <w:vAlign w:val="center"/>
          </w:tcPr>
          <w:p w:rsidR="00196228" w:rsidRPr="00E259B8" w:rsidRDefault="00A73F31" w:rsidP="00E36DFA">
            <w:pPr>
              <w:pStyle w:val="a3"/>
              <w:spacing w:before="0" w:beforeAutospacing="0" w:after="0" w:afterAutospacing="0" w:line="240" w:lineRule="auto"/>
              <w:ind w:left="113" w:right="113"/>
              <w:jc w:val="center"/>
            </w:pPr>
            <w:r w:rsidRPr="00E259B8">
              <w:t>5</w:t>
            </w:r>
          </w:p>
        </w:tc>
        <w:tc>
          <w:tcPr>
            <w:tcW w:w="1388" w:type="dxa"/>
            <w:tcBorders>
              <w:top w:val="single" w:sz="6" w:space="0" w:color="000000"/>
              <w:left w:val="single" w:sz="6" w:space="0" w:color="000000"/>
              <w:bottom w:val="single" w:sz="6" w:space="0" w:color="000000"/>
              <w:right w:val="single" w:sz="6" w:space="0" w:color="000000"/>
            </w:tcBorders>
            <w:vAlign w:val="center"/>
          </w:tcPr>
          <w:p w:rsidR="00196228" w:rsidRPr="00E259B8" w:rsidRDefault="00A73F31" w:rsidP="00E36DFA">
            <w:pPr>
              <w:pStyle w:val="a3"/>
              <w:spacing w:before="0" w:beforeAutospacing="0" w:after="0" w:afterAutospacing="0" w:line="240" w:lineRule="auto"/>
              <w:ind w:left="113" w:right="113"/>
              <w:jc w:val="center"/>
            </w:pPr>
            <w:r w:rsidRPr="00E259B8">
              <w:t>С</w:t>
            </w:r>
          </w:p>
        </w:tc>
      </w:tr>
      <w:tr w:rsidR="0040125D" w:rsidRPr="00890289"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rsidR="0040125D" w:rsidRPr="00E259B8" w:rsidRDefault="00A73F31" w:rsidP="00E36DFA">
            <w:pPr>
              <w:pStyle w:val="a3"/>
              <w:spacing w:before="0" w:beforeAutospacing="0" w:after="0" w:afterAutospacing="0" w:line="360" w:lineRule="auto"/>
              <w:ind w:left="113" w:right="113"/>
            </w:pPr>
            <w:r w:rsidRPr="00E259B8">
              <w:t>5</w:t>
            </w:r>
          </w:p>
        </w:tc>
        <w:tc>
          <w:tcPr>
            <w:tcW w:w="7371" w:type="dxa"/>
            <w:tcBorders>
              <w:top w:val="single" w:sz="6" w:space="0" w:color="000000"/>
              <w:left w:val="single" w:sz="6" w:space="0" w:color="000000"/>
              <w:bottom w:val="single" w:sz="6" w:space="0" w:color="000000"/>
              <w:right w:val="single" w:sz="6" w:space="0" w:color="000000"/>
            </w:tcBorders>
            <w:vAlign w:val="center"/>
          </w:tcPr>
          <w:p w:rsidR="0040125D" w:rsidRPr="00890289" w:rsidRDefault="00331D28" w:rsidP="00E36DFA">
            <w:pPr>
              <w:pStyle w:val="a5"/>
              <w:numPr>
                <w:ilvl w:val="1"/>
                <w:numId w:val="2"/>
              </w:numPr>
              <w:spacing w:before="0" w:after="0" w:line="240" w:lineRule="auto"/>
              <w:ind w:left="113" w:right="113" w:hanging="709"/>
              <w:rPr>
                <w:b/>
                <w:szCs w:val="24"/>
              </w:rPr>
            </w:pPr>
            <w:r w:rsidRPr="00890289">
              <w:rPr>
                <w:szCs w:val="24"/>
              </w:rPr>
              <w:t xml:space="preserve">Пациенту </w:t>
            </w:r>
            <w:r w:rsidR="00A73F31" w:rsidRPr="00890289">
              <w:rPr>
                <w:szCs w:val="24"/>
              </w:rPr>
              <w:t>с подозрением на ММ или выявленной ММ при первичном или повторном приеме, при контрольных обследованиях и при подозрении на рецидив заболевания</w:t>
            </w:r>
            <w:r w:rsidRPr="00890289">
              <w:rPr>
                <w:szCs w:val="24"/>
              </w:rPr>
              <w:t xml:space="preserve"> выполнено </w:t>
            </w:r>
            <w:r w:rsidR="00A73F31" w:rsidRPr="00890289">
              <w:rPr>
                <w:szCs w:val="24"/>
              </w:rPr>
              <w:t>исследование моноклональности иммуноглобулинов в крови</w:t>
            </w:r>
            <w:r w:rsidR="00697269" w:rsidRPr="00890289">
              <w:rPr>
                <w:szCs w:val="24"/>
              </w:rPr>
              <w:t xml:space="preserve"> и моче</w:t>
            </w:r>
            <w:r w:rsidR="00A73F31" w:rsidRPr="00890289">
              <w:rPr>
                <w:szCs w:val="24"/>
              </w:rPr>
              <w:t xml:space="preserve"> методом иммунофиксации с количественным определением уровня М-градиента</w:t>
            </w:r>
            <w:r w:rsidR="0076263A" w:rsidRPr="00890289">
              <w:rPr>
                <w:szCs w:val="24"/>
              </w:rPr>
              <w:t xml:space="preserve"> </w:t>
            </w:r>
            <w:r w:rsidR="008B30C2" w:rsidRPr="00890289">
              <w:rPr>
                <w:rFonts w:eastAsia="Times New Roman"/>
              </w:rPr>
              <w:t xml:space="preserve">(и </w:t>
            </w:r>
            <w:r w:rsidR="009D3B20" w:rsidRPr="00890289">
              <w:rPr>
                <w:rFonts w:eastAsia="Times New Roman"/>
                <w:lang w:val="en-US"/>
              </w:rPr>
              <w:t>β</w:t>
            </w:r>
            <w:r w:rsidR="009D3B20" w:rsidRPr="00890289">
              <w:rPr>
                <w:rFonts w:eastAsia="Times New Roman"/>
              </w:rPr>
              <w:t>2-микроглобулин</w:t>
            </w:r>
            <w:r w:rsidR="008B30C2" w:rsidRPr="00890289">
              <w:rPr>
                <w:rFonts w:eastAsia="Times New Roman"/>
              </w:rPr>
              <w:t>а при диагностике)</w:t>
            </w:r>
          </w:p>
        </w:tc>
        <w:tc>
          <w:tcPr>
            <w:tcW w:w="1276" w:type="dxa"/>
            <w:tcBorders>
              <w:top w:val="single" w:sz="6" w:space="0" w:color="000000"/>
              <w:left w:val="single" w:sz="6" w:space="0" w:color="000000"/>
              <w:bottom w:val="single" w:sz="6" w:space="0" w:color="000000"/>
              <w:right w:val="single" w:sz="6" w:space="0" w:color="000000"/>
            </w:tcBorders>
            <w:vAlign w:val="center"/>
          </w:tcPr>
          <w:p w:rsidR="0040125D" w:rsidRPr="00E259B8" w:rsidRDefault="00A73F31" w:rsidP="00E36DFA">
            <w:pPr>
              <w:pStyle w:val="a3"/>
              <w:spacing w:before="0" w:beforeAutospacing="0" w:after="0" w:afterAutospacing="0" w:line="240" w:lineRule="auto"/>
              <w:ind w:left="113" w:right="113"/>
              <w:jc w:val="center"/>
            </w:pPr>
            <w:r w:rsidRPr="00E259B8">
              <w:t>5</w:t>
            </w:r>
          </w:p>
        </w:tc>
        <w:tc>
          <w:tcPr>
            <w:tcW w:w="1388" w:type="dxa"/>
            <w:tcBorders>
              <w:top w:val="single" w:sz="6" w:space="0" w:color="000000"/>
              <w:left w:val="single" w:sz="6" w:space="0" w:color="000000"/>
              <w:bottom w:val="single" w:sz="6" w:space="0" w:color="000000"/>
              <w:right w:val="single" w:sz="6" w:space="0" w:color="000000"/>
            </w:tcBorders>
            <w:vAlign w:val="center"/>
          </w:tcPr>
          <w:p w:rsidR="0040125D" w:rsidRPr="00E259B8" w:rsidRDefault="00A73F31" w:rsidP="00E36DFA">
            <w:pPr>
              <w:pStyle w:val="a3"/>
              <w:spacing w:before="0" w:beforeAutospacing="0" w:after="0" w:afterAutospacing="0" w:line="240" w:lineRule="auto"/>
              <w:ind w:left="113" w:right="113"/>
              <w:jc w:val="center"/>
            </w:pPr>
            <w:r w:rsidRPr="00E259B8">
              <w:t>С</w:t>
            </w:r>
          </w:p>
        </w:tc>
      </w:tr>
      <w:tr w:rsidR="0040125D" w:rsidRPr="00890289"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rsidR="0040125D" w:rsidRPr="00E259B8" w:rsidRDefault="00331D28" w:rsidP="00E36DFA">
            <w:pPr>
              <w:pStyle w:val="a3"/>
              <w:spacing w:before="0" w:beforeAutospacing="0" w:after="0" w:afterAutospacing="0" w:line="360" w:lineRule="auto"/>
              <w:ind w:left="113" w:right="113"/>
            </w:pPr>
            <w:r w:rsidRPr="00E259B8">
              <w:t>6</w:t>
            </w:r>
          </w:p>
        </w:tc>
        <w:tc>
          <w:tcPr>
            <w:tcW w:w="7371" w:type="dxa"/>
            <w:tcBorders>
              <w:top w:val="single" w:sz="6" w:space="0" w:color="000000"/>
              <w:left w:val="single" w:sz="6" w:space="0" w:color="000000"/>
              <w:bottom w:val="single" w:sz="6" w:space="0" w:color="000000"/>
              <w:right w:val="single" w:sz="6" w:space="0" w:color="000000"/>
            </w:tcBorders>
            <w:vAlign w:val="center"/>
          </w:tcPr>
          <w:p w:rsidR="0040125D" w:rsidRPr="00890289" w:rsidRDefault="00331D28" w:rsidP="00E36DFA">
            <w:pPr>
              <w:spacing w:before="0" w:after="0" w:line="240" w:lineRule="auto"/>
              <w:ind w:left="113" w:right="113"/>
              <w:rPr>
                <w:szCs w:val="24"/>
              </w:rPr>
            </w:pPr>
            <w:r w:rsidRPr="00890289">
              <w:rPr>
                <w:szCs w:val="24"/>
              </w:rPr>
              <w:t>П</w:t>
            </w:r>
            <w:r w:rsidR="00270347" w:rsidRPr="00890289">
              <w:rPr>
                <w:szCs w:val="24"/>
              </w:rPr>
              <w:t>ациент</w:t>
            </w:r>
            <w:r w:rsidRPr="00890289">
              <w:rPr>
                <w:szCs w:val="24"/>
              </w:rPr>
              <w:t>у</w:t>
            </w:r>
            <w:r w:rsidR="00270347" w:rsidRPr="00890289">
              <w:rPr>
                <w:szCs w:val="24"/>
              </w:rPr>
              <w:t xml:space="preserve"> с подозрением на ММ или </w:t>
            </w:r>
            <w:proofErr w:type="gramStart"/>
            <w:r w:rsidR="00270347" w:rsidRPr="00890289">
              <w:rPr>
                <w:szCs w:val="24"/>
              </w:rPr>
              <w:t>выявленной</w:t>
            </w:r>
            <w:proofErr w:type="gramEnd"/>
            <w:r w:rsidR="00270347" w:rsidRPr="00890289">
              <w:rPr>
                <w:szCs w:val="24"/>
              </w:rPr>
              <w:t xml:space="preserve"> ММ при первичном приеме, при контрольных обследованиях и при подозрении на рецидив заболевания</w:t>
            </w:r>
            <w:r w:rsidRPr="00890289">
              <w:rPr>
                <w:szCs w:val="24"/>
              </w:rPr>
              <w:t xml:space="preserve"> выполнено</w:t>
            </w:r>
            <w:r w:rsidR="00270347" w:rsidRPr="00890289">
              <w:rPr>
                <w:szCs w:val="24"/>
              </w:rPr>
              <w:t xml:space="preserve"> </w:t>
            </w:r>
            <w:r w:rsidR="007B4710" w:rsidRPr="007B4710">
              <w:rPr>
                <w:szCs w:val="24"/>
              </w:rPr>
              <w:t>патолого-анатомическое исследование биопсийного (операционного) материала костного мозга с применением иммуногистохимических методов</w:t>
            </w:r>
            <w:r w:rsidR="00270347" w:rsidRPr="00890289">
              <w:rPr>
                <w:szCs w:val="24"/>
              </w:rPr>
              <w:t xml:space="preserve"> для подтверж</w:t>
            </w:r>
            <w:r w:rsidR="00AB72AF" w:rsidRPr="00890289">
              <w:rPr>
                <w:szCs w:val="24"/>
              </w:rPr>
              <w:t>дения и формулирования диагноза</w:t>
            </w:r>
          </w:p>
        </w:tc>
        <w:tc>
          <w:tcPr>
            <w:tcW w:w="1276" w:type="dxa"/>
            <w:tcBorders>
              <w:top w:val="single" w:sz="6" w:space="0" w:color="000000"/>
              <w:left w:val="single" w:sz="6" w:space="0" w:color="000000"/>
              <w:bottom w:val="single" w:sz="6" w:space="0" w:color="000000"/>
              <w:right w:val="single" w:sz="6" w:space="0" w:color="000000"/>
            </w:tcBorders>
            <w:vAlign w:val="center"/>
          </w:tcPr>
          <w:p w:rsidR="0040125D" w:rsidRPr="00E259B8" w:rsidRDefault="00270347" w:rsidP="00E36DFA">
            <w:pPr>
              <w:pStyle w:val="a3"/>
              <w:spacing w:before="0" w:beforeAutospacing="0" w:after="0" w:afterAutospacing="0" w:line="240" w:lineRule="auto"/>
              <w:ind w:left="113" w:right="113"/>
              <w:jc w:val="center"/>
            </w:pPr>
            <w:r w:rsidRPr="00E259B8">
              <w:t>2</w:t>
            </w:r>
          </w:p>
        </w:tc>
        <w:tc>
          <w:tcPr>
            <w:tcW w:w="1388" w:type="dxa"/>
            <w:tcBorders>
              <w:top w:val="single" w:sz="6" w:space="0" w:color="000000"/>
              <w:left w:val="single" w:sz="6" w:space="0" w:color="000000"/>
              <w:bottom w:val="single" w:sz="6" w:space="0" w:color="000000"/>
              <w:right w:val="single" w:sz="6" w:space="0" w:color="000000"/>
            </w:tcBorders>
            <w:vAlign w:val="center"/>
          </w:tcPr>
          <w:p w:rsidR="0040125D" w:rsidRPr="00E259B8" w:rsidRDefault="00270347" w:rsidP="00E36DFA">
            <w:pPr>
              <w:pStyle w:val="a3"/>
              <w:spacing w:before="0" w:beforeAutospacing="0" w:after="0" w:afterAutospacing="0" w:line="240" w:lineRule="auto"/>
              <w:ind w:left="113" w:right="113"/>
              <w:jc w:val="center"/>
            </w:pPr>
            <w:r w:rsidRPr="00E259B8">
              <w:t>В</w:t>
            </w:r>
          </w:p>
        </w:tc>
      </w:tr>
      <w:tr w:rsidR="0040125D" w:rsidRPr="00890289"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rsidR="0040125D" w:rsidRPr="00E259B8" w:rsidRDefault="00331D28" w:rsidP="00E36DFA">
            <w:pPr>
              <w:pStyle w:val="a3"/>
              <w:spacing w:before="0" w:beforeAutospacing="0" w:after="0" w:afterAutospacing="0" w:line="360" w:lineRule="auto"/>
              <w:ind w:left="113" w:right="113"/>
            </w:pPr>
            <w:r w:rsidRPr="00E259B8">
              <w:t>7</w:t>
            </w:r>
          </w:p>
        </w:tc>
        <w:tc>
          <w:tcPr>
            <w:tcW w:w="7371" w:type="dxa"/>
            <w:tcBorders>
              <w:top w:val="single" w:sz="6" w:space="0" w:color="000000"/>
              <w:left w:val="single" w:sz="6" w:space="0" w:color="000000"/>
              <w:bottom w:val="single" w:sz="6" w:space="0" w:color="000000"/>
              <w:right w:val="single" w:sz="6" w:space="0" w:color="000000"/>
            </w:tcBorders>
            <w:vAlign w:val="center"/>
          </w:tcPr>
          <w:p w:rsidR="0040125D" w:rsidRPr="00890289" w:rsidRDefault="00331D28" w:rsidP="00E36DFA">
            <w:pPr>
              <w:spacing w:before="0" w:after="0" w:line="240" w:lineRule="auto"/>
              <w:ind w:left="113" w:right="113"/>
              <w:rPr>
                <w:szCs w:val="24"/>
              </w:rPr>
            </w:pPr>
            <w:r w:rsidRPr="00890289">
              <w:rPr>
                <w:szCs w:val="24"/>
              </w:rPr>
              <w:t>П</w:t>
            </w:r>
            <w:r w:rsidR="00D40466" w:rsidRPr="00890289">
              <w:rPr>
                <w:szCs w:val="24"/>
              </w:rPr>
              <w:t>ациент</w:t>
            </w:r>
            <w:r w:rsidRPr="00890289">
              <w:rPr>
                <w:szCs w:val="24"/>
              </w:rPr>
              <w:t>у</w:t>
            </w:r>
            <w:r w:rsidR="00D40466" w:rsidRPr="00890289">
              <w:rPr>
                <w:szCs w:val="24"/>
              </w:rPr>
              <w:t xml:space="preserve"> при установке диагноза ММ перед началом терапии, при оценке эффекта терапии, а также при подозрении на рецидив заболевания</w:t>
            </w:r>
            <w:r w:rsidRPr="00890289">
              <w:rPr>
                <w:szCs w:val="24"/>
              </w:rPr>
              <w:t xml:space="preserve"> выполнена </w:t>
            </w:r>
            <w:r w:rsidR="003F68DD" w:rsidRPr="00890289">
              <w:rPr>
                <w:szCs w:val="24"/>
              </w:rPr>
              <w:t>КТ</w:t>
            </w:r>
            <w:r w:rsidR="00D40466" w:rsidRPr="00890289">
              <w:rPr>
                <w:szCs w:val="24"/>
              </w:rPr>
              <w:t xml:space="preserve"> всех отделов позвоночника, грудной клетки, таза (предпочтение отдается низкодозной </w:t>
            </w:r>
            <w:r w:rsidR="003F68DD" w:rsidRPr="00890289">
              <w:rPr>
                <w:szCs w:val="24"/>
              </w:rPr>
              <w:t>КТ</w:t>
            </w:r>
            <w:r w:rsidR="00D40466" w:rsidRPr="00890289">
              <w:rPr>
                <w:szCs w:val="24"/>
              </w:rPr>
              <w:t xml:space="preserve"> всего скелета) </w:t>
            </w:r>
            <w:r w:rsidR="000103FE" w:rsidRPr="00890289">
              <w:rPr>
                <w:szCs w:val="24"/>
              </w:rPr>
              <w:t xml:space="preserve">или </w:t>
            </w:r>
            <w:r w:rsidR="00D40466" w:rsidRPr="00890289">
              <w:rPr>
                <w:szCs w:val="24"/>
              </w:rPr>
              <w:t>рентгенологическое исследование костей (включая череп, грудную клетку, все отделы позвоночника, т</w:t>
            </w:r>
            <w:r w:rsidR="003F68DD" w:rsidRPr="00890289">
              <w:rPr>
                <w:szCs w:val="24"/>
              </w:rPr>
              <w:t>аз, плечевые и бедренные кости)</w:t>
            </w:r>
          </w:p>
        </w:tc>
        <w:tc>
          <w:tcPr>
            <w:tcW w:w="1276" w:type="dxa"/>
            <w:tcBorders>
              <w:top w:val="single" w:sz="6" w:space="0" w:color="000000"/>
              <w:left w:val="single" w:sz="6" w:space="0" w:color="000000"/>
              <w:bottom w:val="single" w:sz="6" w:space="0" w:color="000000"/>
              <w:right w:val="single" w:sz="6" w:space="0" w:color="000000"/>
            </w:tcBorders>
            <w:vAlign w:val="center"/>
          </w:tcPr>
          <w:p w:rsidR="0040125D" w:rsidRPr="00E259B8" w:rsidRDefault="00D40466" w:rsidP="00E36DFA">
            <w:pPr>
              <w:pStyle w:val="a3"/>
              <w:spacing w:before="0" w:beforeAutospacing="0" w:after="0" w:afterAutospacing="0" w:line="240" w:lineRule="auto"/>
              <w:ind w:left="113" w:right="113"/>
              <w:jc w:val="center"/>
            </w:pPr>
            <w:r w:rsidRPr="00E259B8">
              <w:t>5</w:t>
            </w:r>
          </w:p>
        </w:tc>
        <w:tc>
          <w:tcPr>
            <w:tcW w:w="1388" w:type="dxa"/>
            <w:tcBorders>
              <w:top w:val="single" w:sz="6" w:space="0" w:color="000000"/>
              <w:left w:val="single" w:sz="6" w:space="0" w:color="000000"/>
              <w:bottom w:val="single" w:sz="6" w:space="0" w:color="000000"/>
              <w:right w:val="single" w:sz="6" w:space="0" w:color="000000"/>
            </w:tcBorders>
            <w:vAlign w:val="center"/>
          </w:tcPr>
          <w:p w:rsidR="0040125D" w:rsidRPr="00E259B8" w:rsidRDefault="00D40466" w:rsidP="00E36DFA">
            <w:pPr>
              <w:pStyle w:val="a3"/>
              <w:spacing w:before="0" w:beforeAutospacing="0" w:after="0" w:afterAutospacing="0" w:line="240" w:lineRule="auto"/>
              <w:ind w:left="113" w:right="113"/>
              <w:jc w:val="center"/>
            </w:pPr>
            <w:r w:rsidRPr="00E259B8">
              <w:t>С</w:t>
            </w:r>
          </w:p>
        </w:tc>
      </w:tr>
      <w:tr w:rsidR="00270347" w:rsidRPr="00890289"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rsidR="00270347" w:rsidRPr="00E259B8" w:rsidRDefault="00331D28" w:rsidP="00E36DFA">
            <w:pPr>
              <w:pStyle w:val="a3"/>
              <w:spacing w:before="0" w:beforeAutospacing="0" w:after="0" w:afterAutospacing="0" w:line="360" w:lineRule="auto"/>
              <w:ind w:left="113" w:right="113"/>
            </w:pPr>
            <w:r w:rsidRPr="00E259B8">
              <w:lastRenderedPageBreak/>
              <w:t>8</w:t>
            </w:r>
          </w:p>
        </w:tc>
        <w:tc>
          <w:tcPr>
            <w:tcW w:w="7371" w:type="dxa"/>
            <w:tcBorders>
              <w:top w:val="single" w:sz="6" w:space="0" w:color="000000"/>
              <w:left w:val="single" w:sz="6" w:space="0" w:color="000000"/>
              <w:bottom w:val="single" w:sz="6" w:space="0" w:color="000000"/>
              <w:right w:val="single" w:sz="6" w:space="0" w:color="000000"/>
            </w:tcBorders>
            <w:vAlign w:val="center"/>
          </w:tcPr>
          <w:p w:rsidR="00270347" w:rsidRPr="00890289" w:rsidRDefault="00D40466" w:rsidP="00E36DFA">
            <w:pPr>
              <w:spacing w:before="0" w:after="0" w:line="240" w:lineRule="auto"/>
              <w:ind w:left="113" w:right="113"/>
              <w:rPr>
                <w:szCs w:val="24"/>
              </w:rPr>
            </w:pPr>
            <w:r w:rsidRPr="00890289">
              <w:rPr>
                <w:szCs w:val="24"/>
              </w:rPr>
              <w:t>Пациент</w:t>
            </w:r>
            <w:r w:rsidR="00FB327B" w:rsidRPr="00890289">
              <w:rPr>
                <w:szCs w:val="24"/>
              </w:rPr>
              <w:t>у</w:t>
            </w:r>
            <w:r w:rsidRPr="00890289">
              <w:rPr>
                <w:szCs w:val="24"/>
              </w:rPr>
              <w:t xml:space="preserve"> с симптоматической </w:t>
            </w:r>
            <w:r w:rsidR="003F68DD" w:rsidRPr="00890289">
              <w:rPr>
                <w:szCs w:val="24"/>
              </w:rPr>
              <w:t>ММ</w:t>
            </w:r>
            <w:r w:rsidRPr="00890289">
              <w:rPr>
                <w:szCs w:val="24"/>
              </w:rPr>
              <w:t xml:space="preserve"> нача</w:t>
            </w:r>
            <w:r w:rsidR="00FB327B" w:rsidRPr="00890289">
              <w:rPr>
                <w:szCs w:val="24"/>
              </w:rPr>
              <w:t>то проведение</w:t>
            </w:r>
            <w:r w:rsidRPr="00890289">
              <w:rPr>
                <w:szCs w:val="24"/>
              </w:rPr>
              <w:t xml:space="preserve"> специфи</w:t>
            </w:r>
            <w:r w:rsidR="003F68DD" w:rsidRPr="00890289">
              <w:rPr>
                <w:szCs w:val="24"/>
              </w:rPr>
              <w:t>ческой противомиеломной терапии</w:t>
            </w:r>
          </w:p>
        </w:tc>
        <w:tc>
          <w:tcPr>
            <w:tcW w:w="1276" w:type="dxa"/>
            <w:tcBorders>
              <w:top w:val="single" w:sz="6" w:space="0" w:color="000000"/>
              <w:left w:val="single" w:sz="6" w:space="0" w:color="000000"/>
              <w:bottom w:val="single" w:sz="6" w:space="0" w:color="000000"/>
              <w:right w:val="single" w:sz="6" w:space="0" w:color="000000"/>
            </w:tcBorders>
            <w:vAlign w:val="center"/>
          </w:tcPr>
          <w:p w:rsidR="00270347" w:rsidRPr="00E259B8" w:rsidRDefault="00D40466" w:rsidP="00E36DFA">
            <w:pPr>
              <w:pStyle w:val="a3"/>
              <w:spacing w:before="0" w:beforeAutospacing="0" w:after="0" w:afterAutospacing="0" w:line="240" w:lineRule="auto"/>
              <w:ind w:left="113" w:right="113"/>
              <w:jc w:val="center"/>
            </w:pPr>
            <w:r w:rsidRPr="00E259B8">
              <w:t>5</w:t>
            </w:r>
          </w:p>
        </w:tc>
        <w:tc>
          <w:tcPr>
            <w:tcW w:w="1388" w:type="dxa"/>
            <w:tcBorders>
              <w:top w:val="single" w:sz="6" w:space="0" w:color="000000"/>
              <w:left w:val="single" w:sz="6" w:space="0" w:color="000000"/>
              <w:bottom w:val="single" w:sz="6" w:space="0" w:color="000000"/>
              <w:right w:val="single" w:sz="6" w:space="0" w:color="000000"/>
            </w:tcBorders>
            <w:vAlign w:val="center"/>
          </w:tcPr>
          <w:p w:rsidR="00270347" w:rsidRPr="00E259B8" w:rsidRDefault="00D40466" w:rsidP="00E36DFA">
            <w:pPr>
              <w:pStyle w:val="a3"/>
              <w:spacing w:before="0" w:beforeAutospacing="0" w:after="0" w:afterAutospacing="0" w:line="240" w:lineRule="auto"/>
              <w:ind w:left="113" w:right="113"/>
              <w:jc w:val="center"/>
            </w:pPr>
            <w:r w:rsidRPr="00E259B8">
              <w:t>С</w:t>
            </w:r>
          </w:p>
        </w:tc>
      </w:tr>
      <w:tr w:rsidR="00270347" w:rsidRPr="00890289"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rsidR="00270347" w:rsidRPr="00E259B8" w:rsidRDefault="00331D28" w:rsidP="00E36DFA">
            <w:pPr>
              <w:pStyle w:val="a3"/>
              <w:spacing w:before="0" w:beforeAutospacing="0" w:after="0" w:afterAutospacing="0" w:line="360" w:lineRule="auto"/>
              <w:ind w:left="113" w:right="113"/>
            </w:pPr>
            <w:r w:rsidRPr="00E259B8">
              <w:t>9</w:t>
            </w:r>
          </w:p>
        </w:tc>
        <w:tc>
          <w:tcPr>
            <w:tcW w:w="7371" w:type="dxa"/>
            <w:tcBorders>
              <w:top w:val="single" w:sz="6" w:space="0" w:color="000000"/>
              <w:left w:val="single" w:sz="6" w:space="0" w:color="000000"/>
              <w:bottom w:val="single" w:sz="6" w:space="0" w:color="000000"/>
              <w:right w:val="single" w:sz="6" w:space="0" w:color="000000"/>
            </w:tcBorders>
            <w:vAlign w:val="center"/>
          </w:tcPr>
          <w:p w:rsidR="00270347" w:rsidRPr="00890289" w:rsidRDefault="00D40466" w:rsidP="00E36DFA">
            <w:pPr>
              <w:tabs>
                <w:tab w:val="num" w:pos="709"/>
              </w:tabs>
              <w:spacing w:before="0" w:after="0" w:line="240" w:lineRule="auto"/>
              <w:ind w:left="113" w:right="113"/>
              <w:rPr>
                <w:b/>
                <w:szCs w:val="24"/>
              </w:rPr>
            </w:pPr>
            <w:r w:rsidRPr="00890289">
              <w:rPr>
                <w:szCs w:val="24"/>
              </w:rPr>
              <w:t>Пациент</w:t>
            </w:r>
            <w:r w:rsidR="00FB327B" w:rsidRPr="00890289">
              <w:rPr>
                <w:szCs w:val="24"/>
              </w:rPr>
              <w:t>у</w:t>
            </w:r>
            <w:r w:rsidRPr="00890289">
              <w:rPr>
                <w:szCs w:val="24"/>
              </w:rPr>
              <w:t xml:space="preserve"> с признаками клинического рецидива, а также при быстром нарастании парапротеина (удвоение содержания М-градиента в течение 2 мес</w:t>
            </w:r>
            <w:r w:rsidR="00E778E9">
              <w:rPr>
                <w:szCs w:val="24"/>
              </w:rPr>
              <w:t>.</w:t>
            </w:r>
            <w:r w:rsidRPr="00890289">
              <w:rPr>
                <w:szCs w:val="24"/>
              </w:rPr>
              <w:t xml:space="preserve">) </w:t>
            </w:r>
            <w:r w:rsidR="00FB327B" w:rsidRPr="00890289">
              <w:rPr>
                <w:szCs w:val="24"/>
              </w:rPr>
              <w:t xml:space="preserve">начато проведение </w:t>
            </w:r>
            <w:r w:rsidRPr="00890289">
              <w:rPr>
                <w:szCs w:val="24"/>
              </w:rPr>
              <w:t>противорецидивн</w:t>
            </w:r>
            <w:r w:rsidR="00FB327B" w:rsidRPr="00890289">
              <w:rPr>
                <w:szCs w:val="24"/>
              </w:rPr>
              <w:t>ой</w:t>
            </w:r>
            <w:r w:rsidRPr="00890289">
              <w:rPr>
                <w:szCs w:val="24"/>
              </w:rPr>
              <w:t xml:space="preserve"> терапи</w:t>
            </w:r>
            <w:r w:rsidR="0076263A" w:rsidRPr="00890289">
              <w:rPr>
                <w:szCs w:val="24"/>
              </w:rPr>
              <w:t>и</w:t>
            </w:r>
          </w:p>
        </w:tc>
        <w:tc>
          <w:tcPr>
            <w:tcW w:w="1276" w:type="dxa"/>
            <w:tcBorders>
              <w:top w:val="single" w:sz="6" w:space="0" w:color="000000"/>
              <w:left w:val="single" w:sz="6" w:space="0" w:color="000000"/>
              <w:bottom w:val="single" w:sz="6" w:space="0" w:color="000000"/>
              <w:right w:val="single" w:sz="6" w:space="0" w:color="000000"/>
            </w:tcBorders>
            <w:vAlign w:val="center"/>
          </w:tcPr>
          <w:p w:rsidR="00270347" w:rsidRPr="00E259B8" w:rsidRDefault="00D40466" w:rsidP="00E36DFA">
            <w:pPr>
              <w:pStyle w:val="a3"/>
              <w:spacing w:before="0" w:beforeAutospacing="0" w:after="0" w:afterAutospacing="0" w:line="240" w:lineRule="auto"/>
              <w:ind w:left="113" w:right="113"/>
              <w:jc w:val="center"/>
            </w:pPr>
            <w:r w:rsidRPr="00E259B8">
              <w:t>5</w:t>
            </w:r>
          </w:p>
        </w:tc>
        <w:tc>
          <w:tcPr>
            <w:tcW w:w="1388" w:type="dxa"/>
            <w:tcBorders>
              <w:top w:val="single" w:sz="6" w:space="0" w:color="000000"/>
              <w:left w:val="single" w:sz="6" w:space="0" w:color="000000"/>
              <w:bottom w:val="single" w:sz="6" w:space="0" w:color="000000"/>
              <w:right w:val="single" w:sz="6" w:space="0" w:color="000000"/>
            </w:tcBorders>
            <w:vAlign w:val="center"/>
          </w:tcPr>
          <w:p w:rsidR="00270347" w:rsidRPr="00E259B8" w:rsidRDefault="00D40466" w:rsidP="00E36DFA">
            <w:pPr>
              <w:pStyle w:val="a3"/>
              <w:spacing w:before="0" w:beforeAutospacing="0" w:after="0" w:afterAutospacing="0" w:line="240" w:lineRule="auto"/>
              <w:ind w:left="113" w:right="113"/>
              <w:jc w:val="center"/>
            </w:pPr>
            <w:r w:rsidRPr="00E259B8">
              <w:t>С</w:t>
            </w:r>
          </w:p>
        </w:tc>
      </w:tr>
      <w:tr w:rsidR="00270347" w:rsidRPr="00890289"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rsidR="00270347" w:rsidRPr="00E259B8" w:rsidRDefault="00931752" w:rsidP="00E36DFA">
            <w:pPr>
              <w:pStyle w:val="a3"/>
              <w:spacing w:before="0" w:beforeAutospacing="0" w:after="0" w:afterAutospacing="0" w:line="360" w:lineRule="auto"/>
              <w:ind w:left="113" w:right="113"/>
            </w:pPr>
            <w:r w:rsidRPr="00E259B8">
              <w:t>1</w:t>
            </w:r>
            <w:r w:rsidR="00331D28" w:rsidRPr="00E259B8">
              <w:t>0</w:t>
            </w:r>
          </w:p>
        </w:tc>
        <w:tc>
          <w:tcPr>
            <w:tcW w:w="7371" w:type="dxa"/>
            <w:tcBorders>
              <w:top w:val="single" w:sz="6" w:space="0" w:color="000000"/>
              <w:left w:val="single" w:sz="6" w:space="0" w:color="000000"/>
              <w:bottom w:val="single" w:sz="6" w:space="0" w:color="000000"/>
              <w:right w:val="single" w:sz="6" w:space="0" w:color="000000"/>
            </w:tcBorders>
            <w:vAlign w:val="center"/>
          </w:tcPr>
          <w:p w:rsidR="00270347" w:rsidRPr="00890289" w:rsidRDefault="00931752" w:rsidP="00E36DFA">
            <w:pPr>
              <w:tabs>
                <w:tab w:val="num" w:pos="709"/>
              </w:tabs>
              <w:spacing w:before="0" w:after="0" w:line="240" w:lineRule="auto"/>
              <w:ind w:left="113" w:right="113"/>
              <w:rPr>
                <w:szCs w:val="24"/>
              </w:rPr>
            </w:pPr>
            <w:r w:rsidRPr="00890289">
              <w:rPr>
                <w:szCs w:val="24"/>
              </w:rPr>
              <w:t>Пациент</w:t>
            </w:r>
            <w:r w:rsidR="00FB327B" w:rsidRPr="00890289">
              <w:rPr>
                <w:szCs w:val="24"/>
              </w:rPr>
              <w:t>у</w:t>
            </w:r>
            <w:r w:rsidRPr="00890289">
              <w:rPr>
                <w:szCs w:val="24"/>
              </w:rPr>
              <w:t>, завершивш</w:t>
            </w:r>
            <w:r w:rsidR="00FB327B" w:rsidRPr="00890289">
              <w:rPr>
                <w:szCs w:val="24"/>
              </w:rPr>
              <w:t>ему</w:t>
            </w:r>
            <w:r w:rsidRPr="00890289">
              <w:rPr>
                <w:szCs w:val="24"/>
              </w:rPr>
              <w:t xml:space="preserve"> запланированное лечение по поводу </w:t>
            </w:r>
            <w:r w:rsidR="003F68DD" w:rsidRPr="00890289">
              <w:rPr>
                <w:szCs w:val="24"/>
              </w:rPr>
              <w:t>ММ</w:t>
            </w:r>
            <w:r w:rsidRPr="00890289">
              <w:rPr>
                <w:szCs w:val="24"/>
              </w:rPr>
              <w:t xml:space="preserve">, </w:t>
            </w:r>
            <w:r w:rsidR="00FB327B" w:rsidRPr="00890289">
              <w:rPr>
                <w:szCs w:val="24"/>
              </w:rPr>
              <w:t xml:space="preserve">выполнена </w:t>
            </w:r>
            <w:r w:rsidRPr="00890289">
              <w:rPr>
                <w:szCs w:val="24"/>
              </w:rPr>
              <w:t xml:space="preserve">оценка эффекта лечения согласно международным критериям, предложенным в 2006 г. и модифицированным в 2011 г. </w:t>
            </w:r>
          </w:p>
        </w:tc>
        <w:tc>
          <w:tcPr>
            <w:tcW w:w="1276" w:type="dxa"/>
            <w:tcBorders>
              <w:top w:val="single" w:sz="6" w:space="0" w:color="000000"/>
              <w:left w:val="single" w:sz="6" w:space="0" w:color="000000"/>
              <w:bottom w:val="single" w:sz="6" w:space="0" w:color="000000"/>
              <w:right w:val="single" w:sz="6" w:space="0" w:color="000000"/>
            </w:tcBorders>
            <w:vAlign w:val="center"/>
          </w:tcPr>
          <w:p w:rsidR="00270347" w:rsidRPr="00E259B8" w:rsidRDefault="00931752" w:rsidP="00E36DFA">
            <w:pPr>
              <w:pStyle w:val="a3"/>
              <w:spacing w:before="0" w:beforeAutospacing="0" w:after="0" w:afterAutospacing="0" w:line="240" w:lineRule="auto"/>
              <w:ind w:left="113" w:right="113"/>
              <w:jc w:val="center"/>
            </w:pPr>
            <w:r w:rsidRPr="00E259B8">
              <w:t>5</w:t>
            </w:r>
          </w:p>
        </w:tc>
        <w:tc>
          <w:tcPr>
            <w:tcW w:w="1388" w:type="dxa"/>
            <w:tcBorders>
              <w:top w:val="single" w:sz="6" w:space="0" w:color="000000"/>
              <w:left w:val="single" w:sz="6" w:space="0" w:color="000000"/>
              <w:bottom w:val="single" w:sz="6" w:space="0" w:color="000000"/>
              <w:right w:val="single" w:sz="6" w:space="0" w:color="000000"/>
            </w:tcBorders>
            <w:vAlign w:val="center"/>
          </w:tcPr>
          <w:p w:rsidR="00270347" w:rsidRPr="00E259B8" w:rsidRDefault="00931752" w:rsidP="00E36DFA">
            <w:pPr>
              <w:pStyle w:val="a3"/>
              <w:spacing w:before="0" w:beforeAutospacing="0" w:after="0" w:afterAutospacing="0" w:line="240" w:lineRule="auto"/>
              <w:ind w:left="113" w:right="113"/>
              <w:jc w:val="center"/>
            </w:pPr>
            <w:r w:rsidRPr="00E259B8">
              <w:t>С</w:t>
            </w:r>
          </w:p>
        </w:tc>
      </w:tr>
    </w:tbl>
    <w:p w:rsidR="004D7374" w:rsidRDefault="004D7374" w:rsidP="00131E36">
      <w:pPr>
        <w:spacing w:before="0" w:after="0"/>
        <w:ind w:firstLine="709"/>
      </w:pPr>
    </w:p>
    <w:p w:rsidR="004D7374" w:rsidRDefault="004D7374" w:rsidP="00131E36">
      <w:pPr>
        <w:spacing w:before="0" w:after="0"/>
        <w:ind w:firstLine="709"/>
      </w:pPr>
    </w:p>
    <w:p w:rsidR="004D7374" w:rsidRDefault="004D7374" w:rsidP="00131E36">
      <w:pPr>
        <w:spacing w:before="0" w:after="0"/>
        <w:ind w:firstLine="709"/>
      </w:pPr>
    </w:p>
    <w:p w:rsidR="004D7374" w:rsidRDefault="004D7374" w:rsidP="00131E36">
      <w:pPr>
        <w:spacing w:before="0" w:after="0"/>
        <w:ind w:firstLine="709"/>
      </w:pPr>
    </w:p>
    <w:p w:rsidR="004D7374" w:rsidRDefault="004D7374" w:rsidP="00131E36">
      <w:pPr>
        <w:spacing w:before="0" w:after="0"/>
        <w:ind w:firstLine="709"/>
      </w:pPr>
    </w:p>
    <w:p w:rsidR="004D7374" w:rsidRDefault="004D7374" w:rsidP="00131E36">
      <w:pPr>
        <w:spacing w:before="0" w:after="0"/>
        <w:ind w:firstLine="709"/>
      </w:pPr>
    </w:p>
    <w:p w:rsidR="004D7374" w:rsidRDefault="004D7374" w:rsidP="00131E36">
      <w:pPr>
        <w:spacing w:before="0" w:after="0"/>
        <w:ind w:firstLine="709"/>
      </w:pPr>
    </w:p>
    <w:p w:rsidR="004D7374" w:rsidRPr="00E36DFA" w:rsidRDefault="004D7374" w:rsidP="00E36DFA">
      <w:pPr>
        <w:pStyle w:val="1"/>
      </w:pPr>
      <w:bookmarkStart w:id="46" w:name="_Toc520213129"/>
      <w:bookmarkStart w:id="47" w:name="_Toc24826830"/>
      <w:r w:rsidRPr="00E36DFA">
        <w:lastRenderedPageBreak/>
        <w:t>Список литературы</w:t>
      </w:r>
      <w:bookmarkEnd w:id="46"/>
      <w:bookmarkEnd w:id="47"/>
    </w:p>
    <w:p w:rsidR="00315D6A" w:rsidRPr="00D62DF3" w:rsidRDefault="00A96FB6" w:rsidP="00315D6A">
      <w:pPr>
        <w:widowControl w:val="0"/>
        <w:autoSpaceDE w:val="0"/>
        <w:autoSpaceDN w:val="0"/>
        <w:adjustRightInd w:val="0"/>
        <w:spacing w:before="0" w:after="0"/>
        <w:ind w:left="640" w:hanging="640"/>
        <w:rPr>
          <w:noProof/>
          <w:lang w:val="en-US"/>
        </w:rPr>
      </w:pPr>
      <w:r>
        <w:rPr>
          <w:lang w:val="en-US"/>
        </w:rPr>
        <w:fldChar w:fldCharType="begin" w:fldLock="1"/>
      </w:r>
      <w:r w:rsidR="0076263A" w:rsidRPr="00EB74F1">
        <w:rPr>
          <w:lang w:val="en-US"/>
        </w:rPr>
        <w:instrText>ADDIN</w:instrText>
      </w:r>
      <w:r w:rsidR="0076263A" w:rsidRPr="00EB74F1">
        <w:instrText xml:space="preserve"> </w:instrText>
      </w:r>
      <w:r w:rsidR="0076263A" w:rsidRPr="00EB74F1">
        <w:rPr>
          <w:lang w:val="en-US"/>
        </w:rPr>
        <w:instrText>Mendeley</w:instrText>
      </w:r>
      <w:r w:rsidR="0076263A" w:rsidRPr="00EB74F1">
        <w:instrText xml:space="preserve"> </w:instrText>
      </w:r>
      <w:r w:rsidR="0076263A" w:rsidRPr="00EB74F1">
        <w:rPr>
          <w:lang w:val="en-US"/>
        </w:rPr>
        <w:instrText>Bibliography</w:instrText>
      </w:r>
      <w:r w:rsidR="0076263A" w:rsidRPr="00EB74F1">
        <w:instrText xml:space="preserve"> </w:instrText>
      </w:r>
      <w:r w:rsidR="0076263A" w:rsidRPr="00EB74F1">
        <w:rPr>
          <w:lang w:val="en-US"/>
        </w:rPr>
        <w:instrText>CSL</w:instrText>
      </w:r>
      <w:r w:rsidR="0076263A" w:rsidRPr="00EB74F1">
        <w:instrText>_</w:instrText>
      </w:r>
      <w:r w:rsidR="0076263A" w:rsidRPr="00EB74F1">
        <w:rPr>
          <w:lang w:val="en-US"/>
        </w:rPr>
        <w:instrText>BIBLIOGRAPHY</w:instrText>
      </w:r>
      <w:r w:rsidR="0076263A" w:rsidRPr="00EB74F1">
        <w:instrText xml:space="preserve"> </w:instrText>
      </w:r>
      <w:r>
        <w:rPr>
          <w:lang w:val="en-US"/>
        </w:rPr>
        <w:fldChar w:fldCharType="separate"/>
      </w:r>
      <w:r w:rsidR="00315D6A" w:rsidRPr="00315D6A">
        <w:rPr>
          <w:noProof/>
        </w:rPr>
        <w:t>1.</w:t>
      </w:r>
      <w:r w:rsidR="00315D6A" w:rsidRPr="00315D6A">
        <w:rPr>
          <w:noProof/>
        </w:rPr>
        <w:tab/>
        <w:t>Менделеева Л.П., Вотякова О.М., Рехтина И.Г. Множественная миелома // Российские клинические рекомендации по диагностике и лечению злокачественных лимфопролиферативных заболеваний; под ред. И</w:t>
      </w:r>
      <w:r w:rsidR="00315D6A" w:rsidRPr="00D62DF3">
        <w:rPr>
          <w:noProof/>
          <w:lang w:val="en-US"/>
        </w:rPr>
        <w:t>.</w:t>
      </w:r>
      <w:r w:rsidR="00315D6A" w:rsidRPr="00315D6A">
        <w:rPr>
          <w:noProof/>
        </w:rPr>
        <w:t>В</w:t>
      </w:r>
      <w:r w:rsidR="00315D6A" w:rsidRPr="00D62DF3">
        <w:rPr>
          <w:noProof/>
          <w:lang w:val="en-US"/>
        </w:rPr>
        <w:t xml:space="preserve">. </w:t>
      </w:r>
      <w:r w:rsidR="00315D6A" w:rsidRPr="00315D6A">
        <w:rPr>
          <w:noProof/>
        </w:rPr>
        <w:t>Поддубной</w:t>
      </w:r>
      <w:r w:rsidR="00315D6A" w:rsidRPr="00D62DF3">
        <w:rPr>
          <w:noProof/>
          <w:lang w:val="en-US"/>
        </w:rPr>
        <w:t xml:space="preserve">, </w:t>
      </w:r>
      <w:r w:rsidR="00315D6A" w:rsidRPr="00315D6A">
        <w:rPr>
          <w:noProof/>
        </w:rPr>
        <w:t>В</w:t>
      </w:r>
      <w:r w:rsidR="00315D6A" w:rsidRPr="00D62DF3">
        <w:rPr>
          <w:noProof/>
          <w:lang w:val="en-US"/>
        </w:rPr>
        <w:t>.</w:t>
      </w:r>
      <w:r w:rsidR="00315D6A" w:rsidRPr="00315D6A">
        <w:rPr>
          <w:noProof/>
        </w:rPr>
        <w:t>Г</w:t>
      </w:r>
      <w:r w:rsidR="00315D6A" w:rsidRPr="00D62DF3">
        <w:rPr>
          <w:noProof/>
          <w:lang w:val="en-US"/>
        </w:rPr>
        <w:t xml:space="preserve">. </w:t>
      </w:r>
      <w:r w:rsidR="00315D6A" w:rsidRPr="00315D6A">
        <w:rPr>
          <w:noProof/>
        </w:rPr>
        <w:t>Савченко</w:t>
      </w:r>
      <w:r w:rsidR="00315D6A" w:rsidRPr="00D62DF3">
        <w:rPr>
          <w:noProof/>
          <w:lang w:val="en-US"/>
        </w:rPr>
        <w:t xml:space="preserve">. </w:t>
      </w:r>
      <w:r w:rsidR="00315D6A" w:rsidRPr="00315D6A">
        <w:rPr>
          <w:noProof/>
        </w:rPr>
        <w:t>Москва</w:t>
      </w:r>
      <w:r w:rsidR="00315D6A" w:rsidRPr="00D62DF3">
        <w:rPr>
          <w:noProof/>
          <w:lang w:val="en-US"/>
        </w:rPr>
        <w:t>, 2018. P. 213–241.</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2.</w:t>
      </w:r>
      <w:r w:rsidRPr="00D62DF3">
        <w:rPr>
          <w:noProof/>
          <w:lang w:val="en-US"/>
        </w:rPr>
        <w:tab/>
        <w:t>Furukawa Y., Kikuchi J. Molecular pathogenesis of multiple myeloma. // Int. J. Clin. Oncol. 2015. Vol. 20, № 3. P. 413–422.</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3.</w:t>
      </w:r>
      <w:r w:rsidRPr="00D62DF3">
        <w:rPr>
          <w:noProof/>
          <w:lang w:val="en-US"/>
        </w:rPr>
        <w:tab/>
        <w:t>Lewis E.B. Leukemia, Multiple Myeloma, and Aplastic Anemia in American Radiologists // Science (80-. ). 1963. Vol. 142, № 3598. P. 1492–1494.</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4.</w:t>
      </w:r>
      <w:r w:rsidRPr="00D62DF3">
        <w:rPr>
          <w:noProof/>
          <w:lang w:val="en-US"/>
        </w:rPr>
        <w:tab/>
        <w:t>Linet M.S., Harlow S.D., McLaughlin J.K. A case-control study of multiple myeloma in whites: chronic antigenic stimulation, occupation, and drug use. // Cancer Res. 1987. Vol. 47, № 11. P. 2978–2981.</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5.</w:t>
      </w:r>
      <w:r w:rsidRPr="00D62DF3">
        <w:rPr>
          <w:noProof/>
          <w:lang w:val="en-US"/>
        </w:rPr>
        <w:tab/>
        <w:t>Hallek M., Bergsagel P.L., Anderson K.C. Multiple myeloma: increasing evidence for a multistep transformation process. // Blood. 1998. Vol. 91, № 1. P. 3–21.</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6.</w:t>
      </w:r>
      <w:r w:rsidRPr="00D62DF3">
        <w:rPr>
          <w:noProof/>
          <w:lang w:val="en-US"/>
        </w:rPr>
        <w:tab/>
        <w:t>Kuehl W.M., Bergsagel P.L. Molecular pathogenesis of multiple myeloma and its premalignant precursor. // J. Clin. Invest. 2012. Vol. 122, № 10. P. 3456–3463.</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7.</w:t>
      </w:r>
      <w:r w:rsidRPr="00D62DF3">
        <w:rPr>
          <w:noProof/>
          <w:lang w:val="en-US"/>
        </w:rPr>
        <w:tab/>
        <w:t>Morgan G.J., Walker B.A., Davies F.E. The genetic architecture of multiple myeloma. // Nat. Rev. Cancer. 2012. Vol. 12, № 5. P. 335–348.</w:t>
      </w:r>
    </w:p>
    <w:p w:rsidR="00315D6A" w:rsidRPr="00315D6A" w:rsidRDefault="00315D6A" w:rsidP="00315D6A">
      <w:pPr>
        <w:widowControl w:val="0"/>
        <w:autoSpaceDE w:val="0"/>
        <w:autoSpaceDN w:val="0"/>
        <w:adjustRightInd w:val="0"/>
        <w:spacing w:before="0" w:after="0"/>
        <w:ind w:left="640" w:hanging="640"/>
        <w:rPr>
          <w:noProof/>
        </w:rPr>
      </w:pPr>
      <w:r w:rsidRPr="00D62DF3">
        <w:rPr>
          <w:noProof/>
          <w:lang w:val="en-US"/>
        </w:rPr>
        <w:t>8.</w:t>
      </w:r>
      <w:r w:rsidRPr="00D62DF3">
        <w:rPr>
          <w:noProof/>
          <w:lang w:val="en-US"/>
        </w:rPr>
        <w:tab/>
        <w:t xml:space="preserve">Fonseca R. et al. International Myeloma Working Group molecular classification of multiple myeloma: Spotlight review // Leukemia. </w:t>
      </w:r>
      <w:r w:rsidRPr="00315D6A">
        <w:rPr>
          <w:noProof/>
        </w:rPr>
        <w:t>Nature Publishing Group, 2009. Vol. 23, № 12. P. 2210–2221.</w:t>
      </w:r>
    </w:p>
    <w:p w:rsidR="00315D6A" w:rsidRPr="00315D6A" w:rsidRDefault="00315D6A" w:rsidP="00315D6A">
      <w:pPr>
        <w:widowControl w:val="0"/>
        <w:autoSpaceDE w:val="0"/>
        <w:autoSpaceDN w:val="0"/>
        <w:adjustRightInd w:val="0"/>
        <w:spacing w:before="0" w:after="0"/>
        <w:ind w:left="640" w:hanging="640"/>
        <w:rPr>
          <w:noProof/>
        </w:rPr>
      </w:pPr>
      <w:r w:rsidRPr="00315D6A">
        <w:rPr>
          <w:noProof/>
        </w:rPr>
        <w:t>9.</w:t>
      </w:r>
      <w:r w:rsidRPr="00315D6A">
        <w:rPr>
          <w:noProof/>
        </w:rPr>
        <w:tab/>
        <w:t>Злокачественные новообразования в России в 2017 году (заболеваемость и смертность). Под ред. А.Д. Каприна, В.В. Старинского, Г.В. Петровой. М.: МНИОИ им. П.А. Герцена – филиал ФГБУ «НМИЦ радиологии» Минздрава России, 2018.</w:t>
      </w:r>
    </w:p>
    <w:p w:rsidR="00315D6A" w:rsidRPr="00D62DF3" w:rsidRDefault="00315D6A" w:rsidP="00315D6A">
      <w:pPr>
        <w:widowControl w:val="0"/>
        <w:autoSpaceDE w:val="0"/>
        <w:autoSpaceDN w:val="0"/>
        <w:adjustRightInd w:val="0"/>
        <w:spacing w:before="0" w:after="0"/>
        <w:ind w:left="640" w:hanging="640"/>
        <w:rPr>
          <w:noProof/>
          <w:lang w:val="en-US"/>
        </w:rPr>
      </w:pPr>
      <w:r w:rsidRPr="00315D6A">
        <w:rPr>
          <w:noProof/>
        </w:rPr>
        <w:t>10.</w:t>
      </w:r>
      <w:r w:rsidRPr="00315D6A">
        <w:rPr>
          <w:noProof/>
        </w:rPr>
        <w:tab/>
        <w:t xml:space="preserve">Бессмельцев С.С. Множественная миелома (лекция). // Вестник гематологии. </w:t>
      </w:r>
      <w:r w:rsidRPr="00D62DF3">
        <w:rPr>
          <w:noProof/>
          <w:lang w:val="en-US"/>
        </w:rPr>
        <w:t>2014. Vol. 10, № 3. P. 6–39.</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11.</w:t>
      </w:r>
      <w:r w:rsidRPr="00D62DF3">
        <w:rPr>
          <w:noProof/>
          <w:lang w:val="en-US"/>
        </w:rPr>
        <w:tab/>
        <w:t>Durie B.G.M., Salmon S.E. A clinical staging system for multiple myeloma correlation of measured myeloma cell mass with presenting clinical features, response to treatment, and survival // Cancer. 1975. Vol. 36, № 3. P. 842–854.</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12.</w:t>
      </w:r>
      <w:r w:rsidRPr="00D62DF3">
        <w:rPr>
          <w:noProof/>
          <w:lang w:val="en-US"/>
        </w:rPr>
        <w:tab/>
        <w:t>Greipp P.R. et al. International staging system for multiple myeloma // J. Clin. Oncol. 2005. Vol. 23, № 15. P. 3412–3420.</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13.</w:t>
      </w:r>
      <w:r w:rsidRPr="00D62DF3">
        <w:rPr>
          <w:noProof/>
          <w:lang w:val="en-US"/>
        </w:rPr>
        <w:tab/>
        <w:t xml:space="preserve">Palumbo A. et al. Revised international staging system for multiple myeloma: A report from international myeloma working group // J. Clin. Oncol. American Society of Clinical </w:t>
      </w:r>
      <w:r w:rsidRPr="00D62DF3">
        <w:rPr>
          <w:noProof/>
          <w:lang w:val="en-US"/>
        </w:rPr>
        <w:lastRenderedPageBreak/>
        <w:t>Oncology, 2015. Vol. 33, № 26. P. 2863–2869.</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14.</w:t>
      </w:r>
      <w:r w:rsidRPr="00D62DF3">
        <w:rPr>
          <w:noProof/>
          <w:lang w:val="en-US"/>
        </w:rPr>
        <w:tab/>
        <w:t>Kyle R.A., Rajkumar S. V. Criteria for diagnosis, staging, risk stratification and response assessment of multiple myeloma. // Leukemia. 2009. Vol. 23, № 1. P. 3–9.</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15.</w:t>
      </w:r>
      <w:r w:rsidRPr="00D62DF3">
        <w:rPr>
          <w:noProof/>
          <w:lang w:val="en-US"/>
        </w:rPr>
        <w:tab/>
        <w:t>Moreau P. et al. Multiple myeloma: ESMO Clinical Practice Guidelines for diagnosis, treatment and follow-up. // Ann. Oncol.  Off. J. Eur. Soc. Med. Oncol. 2017. Vol. 28, № suppl_4. P. iv52–iv61.</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16.</w:t>
      </w:r>
      <w:r w:rsidRPr="00D62DF3">
        <w:rPr>
          <w:noProof/>
          <w:lang w:val="en-US"/>
        </w:rPr>
        <w:tab/>
        <w:t>Rajkumar S.V. et al. International Myeloma Working Group updated criteria for the diagnosis of multiple myeloma // The Lancet Oncology. Lancet Publishing Group, 2014. Vol. 15, № 12. P. e538–e548.</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17.</w:t>
      </w:r>
      <w:r w:rsidRPr="00D62DF3">
        <w:rPr>
          <w:noProof/>
          <w:lang w:val="en-US"/>
        </w:rPr>
        <w:tab/>
        <w:t>Coppola A. et al. Bleeding and thrombosis in multiple myeloma and related plasma cell disorders. // Semin. Thromb. Hemost. 2011. Vol. 37, № 8. P. 929–945.</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18.</w:t>
      </w:r>
      <w:r w:rsidRPr="00D62DF3">
        <w:rPr>
          <w:noProof/>
          <w:lang w:val="en-US"/>
        </w:rPr>
        <w:tab/>
        <w:t>Tripathy S. The role of serum protein electrophoresis in the detection of multiple myeloma: An experience of a corporate hospital // J. Clin. Diagnostic Res. 2012. Vol. 6, № 9. P. 1458–1461.</w:t>
      </w:r>
    </w:p>
    <w:p w:rsidR="00315D6A" w:rsidRPr="00315D6A" w:rsidRDefault="00315D6A" w:rsidP="00315D6A">
      <w:pPr>
        <w:widowControl w:val="0"/>
        <w:autoSpaceDE w:val="0"/>
        <w:autoSpaceDN w:val="0"/>
        <w:adjustRightInd w:val="0"/>
        <w:spacing w:before="0" w:after="0"/>
        <w:ind w:left="640" w:hanging="640"/>
        <w:rPr>
          <w:noProof/>
        </w:rPr>
      </w:pPr>
      <w:r w:rsidRPr="00D62DF3">
        <w:rPr>
          <w:noProof/>
          <w:lang w:val="en-US"/>
        </w:rPr>
        <w:t>19.</w:t>
      </w:r>
      <w:r w:rsidRPr="00D62DF3">
        <w:rPr>
          <w:noProof/>
          <w:lang w:val="en-US"/>
        </w:rPr>
        <w:tab/>
        <w:t xml:space="preserve">Misra A. et al. Old but Still Relevant: High Resolution Electrophoresis and Immunofixation in Multiple Myeloma // Indian Journal of Hematology and Blood Transfusion. </w:t>
      </w:r>
      <w:r w:rsidRPr="00315D6A">
        <w:rPr>
          <w:noProof/>
        </w:rPr>
        <w:t>Springer India, 2016. Vol. 32, № 1. P. 10–17.</w:t>
      </w:r>
    </w:p>
    <w:p w:rsidR="00315D6A" w:rsidRPr="00D62DF3" w:rsidRDefault="00315D6A" w:rsidP="00315D6A">
      <w:pPr>
        <w:widowControl w:val="0"/>
        <w:autoSpaceDE w:val="0"/>
        <w:autoSpaceDN w:val="0"/>
        <w:adjustRightInd w:val="0"/>
        <w:spacing w:before="0" w:after="0"/>
        <w:ind w:left="640" w:hanging="640"/>
        <w:rPr>
          <w:noProof/>
          <w:lang w:val="en-US"/>
        </w:rPr>
      </w:pPr>
      <w:r w:rsidRPr="00315D6A">
        <w:rPr>
          <w:noProof/>
        </w:rPr>
        <w:t>20.</w:t>
      </w:r>
      <w:r w:rsidRPr="00315D6A">
        <w:rPr>
          <w:noProof/>
        </w:rPr>
        <w:tab/>
        <w:t xml:space="preserve">Любимова Н.В. et al. Свободные легкие цепи иммуноглобулинов в диагностике и прогнозе множественной миеломы. // Альманах клинической медицины. </w:t>
      </w:r>
      <w:r w:rsidRPr="00D62DF3">
        <w:rPr>
          <w:noProof/>
          <w:lang w:val="en-US"/>
        </w:rPr>
        <w:t>2017. Vol. 45, № 2. P. 102–108.</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21.</w:t>
      </w:r>
      <w:r w:rsidRPr="00D62DF3">
        <w:rPr>
          <w:noProof/>
          <w:lang w:val="en-US"/>
        </w:rPr>
        <w:tab/>
        <w:t>Pratt G., Goodyear O., Moss P. Immunodeficiency and immunotherapy in multiple myeloma. // Br. J. Haematol. 2007. Vol. 138, № 5. P. 563–579.</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22.</w:t>
      </w:r>
      <w:r w:rsidRPr="00D62DF3">
        <w:rPr>
          <w:noProof/>
          <w:lang w:val="en-US"/>
        </w:rPr>
        <w:tab/>
        <w:t>Julie D. et al. Comparison of Bone marrow Aspirate and Bone marrow Biopsy in the workup of Patients with Multiple Myeloma // Clin. Lymphoma Myeloma Leuk. Elsevier BV, 2015. Vol. 15. P. e117.</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23.</w:t>
      </w:r>
      <w:r w:rsidRPr="00D62DF3">
        <w:rPr>
          <w:noProof/>
          <w:lang w:val="en-US"/>
        </w:rPr>
        <w:tab/>
        <w:t>Pianko M.J. et al. Whole-body low-dose computed tomography and advanced imaging techniques for multiple myeloma bone disease // Clinical Cancer Research. American Association for Cancer Research Inc., 2014. Vol. 20, № 23. P. 5888–5897.</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24.</w:t>
      </w:r>
      <w:r w:rsidRPr="00D62DF3">
        <w:rPr>
          <w:noProof/>
          <w:lang w:val="en-US"/>
        </w:rPr>
        <w:tab/>
        <w:t>Cavo M. et al. Role of 18F-FDG PET/CT in the diagnosis and management of multiple myeloma and other plasma cell disorders: a consensus statement by the International Myeloma Working Group // The Lancet Oncology. Lancet Publishing Group, 2017. Vol. 18, № 4. P. e206–e217.</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25.</w:t>
      </w:r>
      <w:r w:rsidRPr="00D62DF3">
        <w:rPr>
          <w:noProof/>
          <w:lang w:val="en-US"/>
        </w:rPr>
        <w:tab/>
        <w:t>Mateos M.-V., San Miguel J. V. Smoldering multiple myeloma // Hematol. Oncol. 2015. Vol. 33. P. 33–37.</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lastRenderedPageBreak/>
        <w:t>26.</w:t>
      </w:r>
      <w:r w:rsidRPr="00D62DF3">
        <w:rPr>
          <w:noProof/>
          <w:lang w:val="en-US"/>
        </w:rPr>
        <w:tab/>
        <w:t>Zou Y. et al. Bortezomib and lenalidomide as front-line therapy for multiple myeloma. // Leuk. Lymphoma. 2014. Vol. 55, № 9. P. 2024–2031.</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27.</w:t>
      </w:r>
      <w:r w:rsidRPr="00D62DF3">
        <w:rPr>
          <w:noProof/>
          <w:lang w:val="en-US"/>
        </w:rPr>
        <w:tab/>
        <w:t>Mateos M.V. et al. Bortezomib plus melphalan and prednisone compared with melphalan and prednisone in previously untreated multiple myeloma: Updated follow-up and impact of subsequent therapy in the phase III VISTA trial // J. Clin. Oncol. 2010. Vol. 28, № 13. P. 2259–2266.</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28.</w:t>
      </w:r>
      <w:r w:rsidRPr="00D62DF3">
        <w:rPr>
          <w:noProof/>
          <w:lang w:val="en-US"/>
        </w:rPr>
        <w:tab/>
        <w:t>Bringhen S. et al. Efficacy and safety of once-weekly bortezomib in multiple myeloma patients. // Blood. 2010. Vol. 116, № 23. P. 4745–4753.</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29.</w:t>
      </w:r>
      <w:r w:rsidRPr="00D62DF3">
        <w:rPr>
          <w:noProof/>
          <w:lang w:val="en-US"/>
        </w:rPr>
        <w:tab/>
        <w:t>Takezako N. et al. The Efficacy and Safety of Weekly Bortezomib Containing VMP Followed By Bortezomib Maintenance Therapy in Unfit or Frail Multiple Myeloma Patients // Blood. 2016. Vol. 128, № 22.</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30.</w:t>
      </w:r>
      <w:r w:rsidRPr="00D62DF3">
        <w:rPr>
          <w:noProof/>
          <w:lang w:val="en-US"/>
        </w:rPr>
        <w:tab/>
        <w:t>Jagannath S. et al. Extended follow-up of a phase 2 trial of bortezomib alone and in combination with dexamethasone for the frontline treatment of multiple myeloma. // Br. J. Haematol. 2009. Vol. 146, № 6. P. 619–626.</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31.</w:t>
      </w:r>
      <w:r w:rsidRPr="00D62DF3">
        <w:rPr>
          <w:noProof/>
          <w:lang w:val="en-US"/>
        </w:rPr>
        <w:tab/>
        <w:t>Weisel K. et al. A systematic literature review and network meta-analysis of treatments for patients with untreated multiple myeloma not eligible for stem cell transplantation. // Leuk. Lymphoma. 2017. Vol. 58, № 1. P. 153–161.</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32.</w:t>
      </w:r>
      <w:r w:rsidRPr="00D62DF3">
        <w:rPr>
          <w:noProof/>
          <w:lang w:val="en-US"/>
        </w:rPr>
        <w:tab/>
        <w:t>Benboubker L. et al. Lenalidomide and dexamethasone in transplant-ineligible patients with myeloma // N. Engl. J. Med. Massachussetts Medical Society, 2014. Vol. 371, № 10. P. 906–917.</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33.</w:t>
      </w:r>
      <w:r w:rsidRPr="00D62DF3">
        <w:rPr>
          <w:noProof/>
          <w:lang w:val="en-US"/>
        </w:rPr>
        <w:tab/>
        <w:t>Facon T. et al. Updated Overall Survival (OS) Analysis of the FIRST Study: Lenalidomide Plus Low-Dose Dexamethasone (Rd) Continuous vs Melphalan, Prednisone, and Thalidomide (MPT) in Patients (Pts) With Newly Diagnosed Multiple Myeloma (NDMM) // Clin. Lymphoma Myeloma Leuk. Elsevier BV, 2015. Vol. 15. P. e134.</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34.</w:t>
      </w:r>
      <w:r w:rsidRPr="00D62DF3">
        <w:rPr>
          <w:noProof/>
          <w:lang w:val="en-US"/>
        </w:rPr>
        <w:tab/>
        <w:t>Palumbo A. et al. Continuous lenalidomide treatment for newly diagnosed multiple myeloma. // N. Engl. J. Med. 2012. Vol. 366, № 19. P. 1759–1769.</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35.</w:t>
      </w:r>
      <w:r w:rsidRPr="00D62DF3">
        <w:rPr>
          <w:noProof/>
          <w:lang w:val="en-US"/>
        </w:rPr>
        <w:tab/>
        <w:t>Mateos M. V. et al. Daratumumab plus bortezomib, melphalan, and prednisone for untreated myeloma // N. Engl. J. Med. Massachussetts Medical Society, 2018. Vol. 378, № 6. P. 518–528.</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36.</w:t>
      </w:r>
      <w:r w:rsidRPr="00D62DF3">
        <w:rPr>
          <w:noProof/>
          <w:lang w:val="en-US"/>
        </w:rPr>
        <w:tab/>
        <w:t>Su B. et al. A meta-analysis of autologous transplantation for newly diagnosed multiple myeloma in the era of novel agents // Leuk. Lymphoma. Taylor and Francis Ltd, 2018.</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37.</w:t>
      </w:r>
      <w:r w:rsidRPr="00D62DF3">
        <w:rPr>
          <w:noProof/>
          <w:lang w:val="en-US"/>
        </w:rPr>
        <w:tab/>
        <w:t xml:space="preserve">Dhakal B. et al. Autologous transplantation for newly diagnosed multiple myeloma in the era of novel agent induction a systematic review and meta-analysis // JAMA Oncol. </w:t>
      </w:r>
      <w:r w:rsidRPr="00D62DF3">
        <w:rPr>
          <w:noProof/>
          <w:lang w:val="en-US"/>
        </w:rPr>
        <w:lastRenderedPageBreak/>
        <w:t>American Medical Association, 2018. Vol. 4, № 3. P. 343–350.</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38.</w:t>
      </w:r>
      <w:r w:rsidRPr="00D62DF3">
        <w:rPr>
          <w:noProof/>
          <w:lang w:val="en-US"/>
        </w:rPr>
        <w:tab/>
        <w:t>Nooka A.K. et al. Bortezomib-containing induction regimens in transplant-eligible myeloma patients // Cancer. 2013. Vol. 119, № 23. P. 4119–4128.</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39.</w:t>
      </w:r>
      <w:r w:rsidRPr="00D62DF3">
        <w:rPr>
          <w:noProof/>
          <w:lang w:val="en-US"/>
        </w:rPr>
        <w:tab/>
        <w:t>Leiba M. et al. Bortezomib-Cyclophosphamide-Dexamethasone (VCD) versus Bortezomib-Thalidomide-Dexamethasone (VTD) -based regimens as induction therapies in newly diagnosed transplant eligible patients with multiple myeloma: A meta-analysis // Br. J. Haematol. Blackwell Publishing Ltd, 2014. Vol. 166, № 5. P. 702–710.</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40.</w:t>
      </w:r>
      <w:r w:rsidRPr="00D62DF3">
        <w:rPr>
          <w:noProof/>
          <w:lang w:val="en-US"/>
        </w:rPr>
        <w:tab/>
        <w:t>Tuchman S.A., Chao N.J., Gasparetto C.G. Lenalidomide before and after autologous hematopoietic stem cell transplantation in multiple myeloma // Advances in Hematology. 2012. Vol. 2012.</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41.</w:t>
      </w:r>
      <w:r w:rsidRPr="00D62DF3">
        <w:rPr>
          <w:noProof/>
          <w:lang w:val="en-US"/>
        </w:rPr>
        <w:tab/>
        <w:t>Knop S. et al. Lenalidomide, adriamycin, and dexamethasone (RAD) in patients with relapsed and refractory multiple myeloma: A report from the German Myeloma Study Group DSMM (Deutsche Studiengruppe Multiples Myelom) // Blood. 2009. Vol. 113, № 18. P. 4137–4143.</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42.</w:t>
      </w:r>
      <w:r w:rsidRPr="00D62DF3">
        <w:rPr>
          <w:noProof/>
          <w:lang w:val="en-US"/>
        </w:rPr>
        <w:tab/>
        <w:t>Reece D.E. et al. Phase I-II trial of oral cyclophosphamide, prednisone and lenalidomide for the treatment of patients with relapsed and refractory multiple myeloma // Br. J. Haematol. Blackwell Publishing Ltd, 2015. Vol. 168, № 1. P. 46–54.</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43.</w:t>
      </w:r>
      <w:r w:rsidRPr="00D62DF3">
        <w:rPr>
          <w:noProof/>
          <w:lang w:val="en-US"/>
        </w:rPr>
        <w:tab/>
        <w:t>Fung H.C., Nathan S., Maciejewski J.J. Induction chemotherapy before autologous stem cell transplantation for symptomatic plasma cell myeloma - does it matter? // Clin. Pharmacol. 2010. Vol. 2. P. 71–75.</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44.</w:t>
      </w:r>
      <w:r w:rsidRPr="00D62DF3">
        <w:rPr>
          <w:noProof/>
          <w:lang w:val="en-US"/>
        </w:rPr>
        <w:tab/>
        <w:t>Tuchman S.A. et al. Cyclophosphamide-based hematopoietic stem cell mobilization before autologous stem cell transplantation in newly diagnosed multiple myeloma // J. Clin. Apher. Wiley-Liss Inc., 2015. Vol. 30, № 3. P. 176–182.</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45.</w:t>
      </w:r>
      <w:r w:rsidRPr="00D62DF3">
        <w:rPr>
          <w:noProof/>
          <w:lang w:val="en-US"/>
        </w:rPr>
        <w:tab/>
        <w:t>Hosing C. Hematopoietic stem cell mobilization with G-CSF // Methods Mol. Biol. Humana Press Inc., 2012. Vol. 904. P. 37–47.</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46.</w:t>
      </w:r>
      <w:r w:rsidRPr="00D62DF3">
        <w:rPr>
          <w:noProof/>
          <w:lang w:val="en-US"/>
        </w:rPr>
        <w:tab/>
        <w:t>Sivaraj D. et al. High-dose BCNU/Melphalan conditioning regimen before autologous stem cell transplantation in newly diagnosed multiple myeloma // Bone Marrow Transplant. Nature Publishing Group, 2018. Vol. 53, № 1. P. 34–38.</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47.</w:t>
      </w:r>
      <w:r w:rsidRPr="00D62DF3">
        <w:rPr>
          <w:noProof/>
          <w:lang w:val="en-US"/>
        </w:rPr>
        <w:tab/>
        <w:t>Oliva S. et al. Minimal residual disease after transplantation or lenalidomidebased consolidation in myeloma patients: A prospective analysis // Oncotarget. Impact Journals LLC, 2017. Vol. 8, № 4. P. 5924–5935.</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48.</w:t>
      </w:r>
      <w:r w:rsidRPr="00D62DF3">
        <w:rPr>
          <w:noProof/>
          <w:lang w:val="en-US"/>
        </w:rPr>
        <w:tab/>
        <w:t xml:space="preserve">Sonneveld P. et al. Consolidation followed by maintenance vs. maintenance alone in newly diagnosed, transplant eligible multiple myeloma: a randomized phase 3 study of the European Myeloma Network (EMN02/HO95 MM TRIAL) // EHA 23 Proceedings. 2018. </w:t>
      </w:r>
      <w:r w:rsidRPr="00D62DF3">
        <w:rPr>
          <w:noProof/>
          <w:lang w:val="en-US"/>
        </w:rPr>
        <w:lastRenderedPageBreak/>
        <w:t>P. Abstract S108.</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49.</w:t>
      </w:r>
      <w:r w:rsidRPr="00D62DF3">
        <w:rPr>
          <w:noProof/>
          <w:lang w:val="en-US"/>
        </w:rPr>
        <w:tab/>
        <w:t>Roussel M. et al. Front-line transplantation program with lenalidomide, bortezomib, and dexamethasone combination as induction and consolidation followed by lenalidomide maintenance in patients with multiple myeloma: A phase II study by the Intergroupe Francophone du Myélome // J. Clin. Oncol. American Society of Clinical Oncology, 2014. Vol. 32, № 25. P. 2712–2717.</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50.</w:t>
      </w:r>
      <w:r w:rsidRPr="00D62DF3">
        <w:rPr>
          <w:noProof/>
          <w:lang w:val="en-US"/>
        </w:rPr>
        <w:tab/>
        <w:t>Naumann-Winter F. et al. First-line tandem high-dose chemotherapy and autologous stem cell transplantation versus single high-dose chemotherapy and autologous stem cell transplantation in multiple myeloma, a systematic review of controlled studies. // Cochrane database Syst. Rev. 2012. Vol. 10. P. CD004626.</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51.</w:t>
      </w:r>
      <w:r w:rsidRPr="00D62DF3">
        <w:rPr>
          <w:noProof/>
          <w:lang w:val="en-US"/>
        </w:rPr>
        <w:tab/>
        <w:t>Nathwani N., Larsen J.T., Kapoor P. Consolidation and Maintenance Therapies for Newly Diagnosed Multiple Myeloma in the Era of Novel Agents // Current Hematologic Malignancy Reports. Current Science Inc., 2016. Vol. 11, № 2. P. 127–136.</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52.</w:t>
      </w:r>
      <w:r w:rsidRPr="00D62DF3">
        <w:rPr>
          <w:noProof/>
          <w:lang w:val="en-US"/>
        </w:rPr>
        <w:tab/>
        <w:t>Sonneveld P. et al. Bortezomib induction and maintenance treatment in patients with newly diagnosed multiple myeloma: Results of the randomized phase III HOVON-65/ GMMG-HD4 trial // J. Clin. Oncol. 2012. Vol. 30, № 24. P. 2946–2955.</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53.</w:t>
      </w:r>
      <w:r w:rsidRPr="00D62DF3">
        <w:rPr>
          <w:noProof/>
          <w:lang w:val="en-US"/>
        </w:rPr>
        <w:tab/>
        <w:t>McCarthy P.L. et al. Lenalidomide after stem-cell transplantation for multiple myeloma. // N. Engl. J. Med. 2012. Vol. 366, № 19. P. 1770–1781.</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54.</w:t>
      </w:r>
      <w:r w:rsidRPr="00D62DF3">
        <w:rPr>
          <w:noProof/>
          <w:lang w:val="en-US"/>
        </w:rPr>
        <w:tab/>
        <w:t>Attal M. et al. Lenalidomide maintenance after stem-cell transplantation for multiple myeloma. // N. Engl. J. Med. 2012. Vol. 366, № 19. P. 1782–1791.</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55.</w:t>
      </w:r>
      <w:r w:rsidRPr="00D62DF3">
        <w:rPr>
          <w:noProof/>
          <w:lang w:val="en-US"/>
        </w:rPr>
        <w:tab/>
        <w:t>Palumbo A. et al. Autologous transplantation and maintenance therapy in multiple myeloma. // N. Engl. J. Med. 2014. Vol. 371, № 10. P. 895–905.</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56.</w:t>
      </w:r>
      <w:r w:rsidRPr="00D62DF3">
        <w:rPr>
          <w:noProof/>
          <w:lang w:val="en-US"/>
        </w:rPr>
        <w:tab/>
        <w:t>Beurden-Tan C.H.Y.V. et al. Systematic literature review and network meta-analysis of treatment outcomes in relapsed and/or refractory multiple myeloma // Journal of Clinical Oncology. American Society of Clinical Oncology, 2017. Vol. 35, № 12. P. 1312–1319.</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57.</w:t>
      </w:r>
      <w:r w:rsidRPr="00D62DF3">
        <w:rPr>
          <w:noProof/>
          <w:lang w:val="en-US"/>
        </w:rPr>
        <w:tab/>
        <w:t>Knopf K.B. et al. Meta-analysis of the efficacy and safety of bortezomib re-treatment in patients with multiple myeloma. // Clin. Lymphoma. Myeloma Leuk. 2014. Vol. 14, № 5. P. 380–388.</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58.</w:t>
      </w:r>
      <w:r w:rsidRPr="00D62DF3">
        <w:rPr>
          <w:noProof/>
          <w:lang w:val="en-US"/>
        </w:rPr>
        <w:tab/>
        <w:t>Scott K. et al. Bortezomib for the treatment of multiple myeloma. // Cochrane database Syst. Rev. 2016. Vol. 4. P. CD010816.</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59.</w:t>
      </w:r>
      <w:r w:rsidRPr="00D62DF3">
        <w:rPr>
          <w:noProof/>
          <w:lang w:val="en-US"/>
        </w:rPr>
        <w:tab/>
        <w:t>Dimopoulos M.A. et al. A Comparison of the Efficacy of Immunomodulatory-containing Regimens in Relapsed/Refractory Multiple Myeloma: A Network Meta-analysis // Clin. Lymphoma, Myeloma Leuk. Elsevier Inc., 2018. Vol. 18, № 3. P. 163-173.e6.</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60.</w:t>
      </w:r>
      <w:r w:rsidRPr="00D62DF3">
        <w:rPr>
          <w:noProof/>
          <w:lang w:val="en-US"/>
        </w:rPr>
        <w:tab/>
        <w:t xml:space="preserve">Anderson K.C. et al. Lenalidomide, bortezomib, and dexamethasone in relapsed/refractory </w:t>
      </w:r>
      <w:r w:rsidRPr="00D62DF3">
        <w:rPr>
          <w:noProof/>
          <w:lang w:val="en-US"/>
        </w:rPr>
        <w:lastRenderedPageBreak/>
        <w:t>multiple myeloma (MM): Encouraging outcomes and tolerability in a phase II study // J. Clin. Oncol. 2009. Vol. 27, № 15 (Suppl.). P. Abstract 8536.</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61.</w:t>
      </w:r>
      <w:r w:rsidRPr="00D62DF3">
        <w:rPr>
          <w:noProof/>
          <w:lang w:val="en-US"/>
        </w:rPr>
        <w:tab/>
        <w:t>Shah C. et al. Efficacy and safety of carfilzomib in relapsed and/or refractory multiple myeloma: Systematic review and meta-analysis of 14 trials // Oncotarget. Impact Journals LLC, 2018. Vol. 9, № 34. P. 23704–23717.</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62.</w:t>
      </w:r>
      <w:r w:rsidRPr="00D62DF3">
        <w:rPr>
          <w:noProof/>
          <w:lang w:val="en-US"/>
        </w:rPr>
        <w:tab/>
        <w:t>Moreau P. et al. Oral Ixazomib, Lenalidomide, and Dexamethasone for Multiple Myeloma // N. Engl. J. Med. 2016. Vol. 374, № 17. P. 1621–1634.</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63.</w:t>
      </w:r>
      <w:r w:rsidRPr="00D62DF3">
        <w:rPr>
          <w:noProof/>
          <w:lang w:val="en-US"/>
        </w:rPr>
        <w:tab/>
        <w:t>Miguel J.S. et al. Pomalidomide plus low-dose dexamethasone versus high-dose dexamethasone alone for patients with relapsed and refractory multiple myeloma (MM-003): A randomised, open-label, phase 3 trial // Lancet Oncol. 2013. Vol. 14, № 11. P. 1055–1066.</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64.</w:t>
      </w:r>
      <w:r w:rsidRPr="00D62DF3">
        <w:rPr>
          <w:noProof/>
          <w:lang w:val="en-US"/>
        </w:rPr>
        <w:tab/>
        <w:t>Lokhorst H.M. et al. Targeting CD38 with Daratumumab Monotherapy in Multiple Myeloma. // N. Engl. J. Med. 2015. Vol. 373, № 13. P. 1207–1219.</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65.</w:t>
      </w:r>
      <w:r w:rsidRPr="00D62DF3">
        <w:rPr>
          <w:noProof/>
          <w:lang w:val="en-US"/>
        </w:rPr>
        <w:tab/>
        <w:t>Lonial S. et al. Daratumumab monotherapy in patients with treatment-refractory multiple myeloma (SIRIUS): An open-label, randomised, phase 2 trial // Lancet. Lancet Publishing Group, 2016. Vol. 387, № 10027. P. 1551–1560.</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66.</w:t>
      </w:r>
      <w:r w:rsidRPr="00D62DF3">
        <w:rPr>
          <w:noProof/>
          <w:lang w:val="en-US"/>
        </w:rPr>
        <w:tab/>
        <w:t>Tsang R.W. et al. Radiation Therapy for Solitary Plasmacytoma and Multiple Myeloma: Guidelines From the International Lymphoma Radiation Oncology Group. // Int. J. Radiat. Oncol. Biol. Phys. 2018. Vol. 101, № 4. P. 794–808.</w:t>
      </w:r>
    </w:p>
    <w:p w:rsidR="00315D6A" w:rsidRPr="00315D6A" w:rsidRDefault="00315D6A" w:rsidP="00315D6A">
      <w:pPr>
        <w:widowControl w:val="0"/>
        <w:autoSpaceDE w:val="0"/>
        <w:autoSpaceDN w:val="0"/>
        <w:adjustRightInd w:val="0"/>
        <w:spacing w:before="0" w:after="0"/>
        <w:ind w:left="640" w:hanging="640"/>
        <w:rPr>
          <w:noProof/>
        </w:rPr>
      </w:pPr>
      <w:r w:rsidRPr="00D62DF3">
        <w:rPr>
          <w:noProof/>
          <w:lang w:val="en-US"/>
        </w:rPr>
        <w:t>67.</w:t>
      </w:r>
      <w:r w:rsidRPr="00D62DF3">
        <w:rPr>
          <w:noProof/>
          <w:lang w:val="en-US"/>
        </w:rPr>
        <w:tab/>
        <w:t xml:space="preserve">Mark D. et al. Local Radiation Therapy for Palliation in Patients With Multiple Myeloma of the Spine. // Front. </w:t>
      </w:r>
      <w:r w:rsidRPr="00315D6A">
        <w:rPr>
          <w:noProof/>
        </w:rPr>
        <w:t>Oncol. 2019. Vol. 9. P. 601.</w:t>
      </w:r>
    </w:p>
    <w:p w:rsidR="00315D6A" w:rsidRPr="00315D6A" w:rsidRDefault="00315D6A" w:rsidP="00315D6A">
      <w:pPr>
        <w:widowControl w:val="0"/>
        <w:autoSpaceDE w:val="0"/>
        <w:autoSpaceDN w:val="0"/>
        <w:adjustRightInd w:val="0"/>
        <w:spacing w:before="0" w:after="0"/>
        <w:ind w:left="640" w:hanging="640"/>
        <w:rPr>
          <w:noProof/>
        </w:rPr>
      </w:pPr>
      <w:r w:rsidRPr="00315D6A">
        <w:rPr>
          <w:noProof/>
        </w:rPr>
        <w:t>68.</w:t>
      </w:r>
      <w:r w:rsidRPr="00315D6A">
        <w:rPr>
          <w:noProof/>
        </w:rPr>
        <w:tab/>
        <w:t>Владимирова Л.Ю. et al. Практические рекомендации по профилактике и лечению тошноты и рвоты у онкологических больных // 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 2018. P. 502–511.</w:t>
      </w:r>
    </w:p>
    <w:p w:rsidR="00315D6A" w:rsidRPr="00315D6A" w:rsidRDefault="00315D6A" w:rsidP="00315D6A">
      <w:pPr>
        <w:widowControl w:val="0"/>
        <w:autoSpaceDE w:val="0"/>
        <w:autoSpaceDN w:val="0"/>
        <w:adjustRightInd w:val="0"/>
        <w:spacing w:before="0" w:after="0"/>
        <w:ind w:left="640" w:hanging="640"/>
        <w:rPr>
          <w:noProof/>
        </w:rPr>
      </w:pPr>
      <w:r w:rsidRPr="00315D6A">
        <w:rPr>
          <w:noProof/>
        </w:rPr>
        <w:t>69.</w:t>
      </w:r>
      <w:r w:rsidRPr="00315D6A">
        <w:rPr>
          <w:noProof/>
        </w:rPr>
        <w:tab/>
        <w:t xml:space="preserve">Compagno N. et al. </w:t>
      </w:r>
      <w:r w:rsidRPr="00D62DF3">
        <w:rPr>
          <w:noProof/>
          <w:lang w:val="en-US"/>
        </w:rPr>
        <w:t xml:space="preserve">Immunoglobulin replacement therapy in secondary hypogammaglobulinemia // Frontiers in Immunology. </w:t>
      </w:r>
      <w:r w:rsidRPr="00315D6A">
        <w:rPr>
          <w:noProof/>
        </w:rPr>
        <w:t>Frontiers Media S.A., 2014. Vol. 5, № DEC.</w:t>
      </w:r>
    </w:p>
    <w:p w:rsidR="00315D6A" w:rsidRPr="00315D6A" w:rsidRDefault="00315D6A" w:rsidP="00315D6A">
      <w:pPr>
        <w:widowControl w:val="0"/>
        <w:autoSpaceDE w:val="0"/>
        <w:autoSpaceDN w:val="0"/>
        <w:adjustRightInd w:val="0"/>
        <w:spacing w:before="0" w:after="0"/>
        <w:ind w:left="640" w:hanging="640"/>
        <w:rPr>
          <w:noProof/>
        </w:rPr>
      </w:pPr>
      <w:r w:rsidRPr="00315D6A">
        <w:rPr>
          <w:noProof/>
        </w:rPr>
        <w:t>70.</w:t>
      </w:r>
      <w:r w:rsidRPr="00315D6A">
        <w:rPr>
          <w:noProof/>
        </w:rPr>
        <w:tab/>
        <w:t>Константинова Т.С., Клясова Г.А., Капланов К.Д. Лечение и профилактика инфекционных осложнений у пациентов с лимфопролиферативными заболеваниями.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289–311.</w:t>
      </w:r>
    </w:p>
    <w:p w:rsidR="00315D6A" w:rsidRPr="00D62DF3" w:rsidRDefault="00315D6A" w:rsidP="00315D6A">
      <w:pPr>
        <w:widowControl w:val="0"/>
        <w:autoSpaceDE w:val="0"/>
        <w:autoSpaceDN w:val="0"/>
        <w:adjustRightInd w:val="0"/>
        <w:spacing w:before="0" w:after="0"/>
        <w:ind w:left="640" w:hanging="640"/>
        <w:rPr>
          <w:noProof/>
          <w:lang w:val="en-US"/>
        </w:rPr>
      </w:pPr>
      <w:r w:rsidRPr="00315D6A">
        <w:rPr>
          <w:noProof/>
        </w:rPr>
        <w:lastRenderedPageBreak/>
        <w:t>71.</w:t>
      </w:r>
      <w:r w:rsidRPr="00315D6A">
        <w:rPr>
          <w:noProof/>
        </w:rPr>
        <w:tab/>
        <w:t xml:space="preserve">Абузарова Г.Р. et al. Обезболивание взрослых и детей при оказании медицинской помощи. Методические рекомендации. ФГБОУ ВО РНИМУ им. Н.И. Пирогова Минздрава России., 2016. </w:t>
      </w:r>
      <w:r w:rsidRPr="00D62DF3">
        <w:rPr>
          <w:noProof/>
          <w:lang w:val="en-US"/>
        </w:rPr>
        <w:t>94 p.</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72.</w:t>
      </w:r>
      <w:r w:rsidRPr="00D62DF3">
        <w:rPr>
          <w:noProof/>
          <w:lang w:val="en-US"/>
        </w:rPr>
        <w:tab/>
        <w:t>Durie B.G.M. et al. International uniform response criteria for multiple myeloma // Leukemia. Nature Publishing Group, 2006. Vol. 20, № 9. P. 1467–1473.</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73.</w:t>
      </w:r>
      <w:r w:rsidRPr="00D62DF3">
        <w:rPr>
          <w:noProof/>
          <w:lang w:val="en-US"/>
        </w:rPr>
        <w:tab/>
        <w:t>Rajkumar S.V. et al. Consensus recommendations for the uniform reporting of clinical trials: Report of the International Myeloma Workshop Consensus Panel 1 // Blood. 2011. Vol. 117, № 18. P. 4691–4695.</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74.</w:t>
      </w:r>
      <w:r w:rsidRPr="00D62DF3">
        <w:rPr>
          <w:noProof/>
          <w:lang w:val="en-US"/>
        </w:rPr>
        <w:tab/>
        <w:t>Kumar S. et al. International Myeloma Working Group consensus criteria for response and minimal residual disease assessment in multiple myeloma // The Lancet Oncology. Lancet Publishing Group, 2016. Vol. 17, № 8. P. e328–e346.</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75.</w:t>
      </w:r>
      <w:r w:rsidRPr="00D62DF3">
        <w:rPr>
          <w:noProof/>
          <w:lang w:val="en-US"/>
        </w:rPr>
        <w:tab/>
        <w:t>Paul K.L. Rehabilitation and exercise considerations in hematologic malignancies. // Am. J. Phys. Med. Rehabil. 2011. Vol. 90, № 5 Suppl 1. P. S88-94.</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76.</w:t>
      </w:r>
      <w:r w:rsidRPr="00D62DF3">
        <w:rPr>
          <w:noProof/>
          <w:lang w:val="en-US"/>
        </w:rPr>
        <w:tab/>
        <w:t>Jones J.R. et al. Second malignancies in the context of lenalidomide treatment: an analysis of 2732 myeloma patients enrolled to the Myeloma XI trial // Blood Cancer J. 2016. Vol. 6, № 12. P. e506.</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77.</w:t>
      </w:r>
      <w:r w:rsidRPr="00D62DF3">
        <w:rPr>
          <w:noProof/>
          <w:lang w:val="en-US"/>
        </w:rPr>
        <w:tab/>
        <w:t>Rajkumar S.V. et al. Lenalidomide plus high-dose dexamethasone versus lenalidomide plus low-dose dexamethasone as initial therapy for newly diagnosed multiple myeloma: an open-label randomised controlled trial // Lancet Oncol. Lancet Publishing Group, 2010. Vol. 11, № 1. P. 29–37.</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78.</w:t>
      </w:r>
      <w:r w:rsidRPr="00D62DF3">
        <w:rPr>
          <w:noProof/>
          <w:lang w:val="en-US"/>
        </w:rPr>
        <w:tab/>
        <w:t>Punke A.P., Waddell J.A., Solimando D.A. Lenalidomide, bortezomib, and dexamethasone (RVD) regimen for multiple myeloma // Hosp. Pharm. SAGE Publications Ltd, 2017. Vol. 52, № 1. P. 27–32.</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79.</w:t>
      </w:r>
      <w:r w:rsidRPr="00D62DF3">
        <w:rPr>
          <w:noProof/>
          <w:lang w:val="en-US"/>
        </w:rPr>
        <w:tab/>
        <w:t>Dimopoulos M.A. et al. Carfilzomib or bortezomib in relapsed or refractory multiple myeloma (ENDEAVOR): an interim overall survival analysis of an open-label, randomised, phase 3 trial // Lancet Oncol. Lancet Publishing Group, 2017. Vol. 18, № 10. P. 1327–1337.</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80.</w:t>
      </w:r>
      <w:r w:rsidRPr="00D62DF3">
        <w:rPr>
          <w:noProof/>
          <w:lang w:val="en-US"/>
        </w:rPr>
        <w:tab/>
        <w:t>Dadacaridou M. et al. Dexamethasone, cyclophosphamide, etoposide and cisplatin (DCEP) for relapsed or refractory multiple myeloma patients. // J. BUON. Vol. 12, № 1. P. 41–44.</w:t>
      </w:r>
    </w:p>
    <w:p w:rsidR="00315D6A" w:rsidRPr="00D62DF3" w:rsidRDefault="00315D6A" w:rsidP="00315D6A">
      <w:pPr>
        <w:widowControl w:val="0"/>
        <w:autoSpaceDE w:val="0"/>
        <w:autoSpaceDN w:val="0"/>
        <w:adjustRightInd w:val="0"/>
        <w:spacing w:before="0" w:after="0"/>
        <w:ind w:left="640" w:hanging="640"/>
        <w:rPr>
          <w:noProof/>
          <w:lang w:val="en-US"/>
        </w:rPr>
      </w:pPr>
      <w:r w:rsidRPr="00D62DF3">
        <w:rPr>
          <w:noProof/>
          <w:lang w:val="en-US"/>
        </w:rPr>
        <w:t>81.</w:t>
      </w:r>
      <w:r w:rsidRPr="00D62DF3">
        <w:rPr>
          <w:noProof/>
          <w:lang w:val="en-US"/>
        </w:rPr>
        <w:tab/>
        <w:t>Lakshman A. et al. Efficacy of VDT PACE-like regimens in treatment of relapsed/refractory multiple myeloma // Am. J. Hematol. 2018. Vol. 93, № 2. P. 179–186.</w:t>
      </w:r>
    </w:p>
    <w:p w:rsidR="00315D6A" w:rsidRPr="00315D6A" w:rsidRDefault="00315D6A" w:rsidP="00315D6A">
      <w:pPr>
        <w:widowControl w:val="0"/>
        <w:autoSpaceDE w:val="0"/>
        <w:autoSpaceDN w:val="0"/>
        <w:adjustRightInd w:val="0"/>
        <w:spacing w:before="0" w:after="0"/>
        <w:ind w:left="640" w:hanging="640"/>
        <w:rPr>
          <w:noProof/>
        </w:rPr>
      </w:pPr>
      <w:r w:rsidRPr="00D62DF3">
        <w:rPr>
          <w:noProof/>
          <w:lang w:val="en-US"/>
        </w:rPr>
        <w:t>82.</w:t>
      </w:r>
      <w:r w:rsidRPr="00D62DF3">
        <w:rPr>
          <w:noProof/>
          <w:lang w:val="en-US"/>
        </w:rPr>
        <w:tab/>
        <w:t xml:space="preserve">Oken M.M. et al. Toxicity and response criteria of the Eastern Cooperative Oncology Group // Am. J. Clin. </w:t>
      </w:r>
      <w:r w:rsidRPr="00315D6A">
        <w:rPr>
          <w:noProof/>
        </w:rPr>
        <w:t>Oncol. 1982. Vol. 5, № 6. P. 649–655.</w:t>
      </w:r>
    </w:p>
    <w:p w:rsidR="004A458B" w:rsidRPr="00191CF9" w:rsidRDefault="00A96FB6" w:rsidP="00315D6A">
      <w:pPr>
        <w:widowControl w:val="0"/>
        <w:autoSpaceDE w:val="0"/>
        <w:autoSpaceDN w:val="0"/>
        <w:adjustRightInd w:val="0"/>
        <w:spacing w:before="0" w:after="0"/>
        <w:ind w:left="640" w:hanging="640"/>
        <w:rPr>
          <w:lang w:val="en-US"/>
        </w:rPr>
      </w:pPr>
      <w:r>
        <w:rPr>
          <w:lang w:val="en-US"/>
        </w:rPr>
        <w:lastRenderedPageBreak/>
        <w:fldChar w:fldCharType="end"/>
      </w:r>
    </w:p>
    <w:p w:rsidR="004D7374" w:rsidRPr="00191CF9" w:rsidRDefault="004D7374" w:rsidP="00131E36">
      <w:pPr>
        <w:spacing w:before="0" w:after="0"/>
        <w:ind w:firstLine="709"/>
        <w:rPr>
          <w:lang w:val="en-US"/>
        </w:rPr>
      </w:pPr>
    </w:p>
    <w:p w:rsidR="004D7374" w:rsidRDefault="004D7374">
      <w:pPr>
        <w:pStyle w:val="1"/>
        <w:spacing w:before="0" w:after="0"/>
      </w:pPr>
      <w:bookmarkStart w:id="48" w:name="_Toc520213130"/>
      <w:bookmarkStart w:id="49" w:name="_Toc24826831"/>
      <w:r>
        <w:lastRenderedPageBreak/>
        <w:t>Приложение А1. Состав рабочей группы</w:t>
      </w:r>
      <w:bookmarkEnd w:id="48"/>
      <w:bookmarkEnd w:id="49"/>
    </w:p>
    <w:p w:rsidR="00E92FAD" w:rsidRPr="00492620" w:rsidRDefault="00E92FAD" w:rsidP="00E92FAD">
      <w:pPr>
        <w:pStyle w:val="a5"/>
        <w:numPr>
          <w:ilvl w:val="0"/>
          <w:numId w:val="56"/>
        </w:numPr>
        <w:spacing w:before="0" w:after="0"/>
      </w:pPr>
      <w:r w:rsidRPr="00362B53">
        <w:rPr>
          <w:b/>
        </w:rPr>
        <w:t xml:space="preserve">Менделеева Лариса Павловна – </w:t>
      </w:r>
      <w:r>
        <w:t>д.м.</w:t>
      </w:r>
      <w:r w:rsidRPr="00492620">
        <w:t>н</w:t>
      </w:r>
      <w:r>
        <w:t>.</w:t>
      </w:r>
      <w:r w:rsidRPr="00492620">
        <w:t xml:space="preserve">, заместитель генерального директора </w:t>
      </w:r>
      <w:r>
        <w:t>ФГБУ «</w:t>
      </w:r>
      <w:r w:rsidRPr="00492620">
        <w:t>НМИЦ гематологии</w:t>
      </w:r>
      <w:r>
        <w:t>»</w:t>
      </w:r>
      <w:r w:rsidRPr="00492620">
        <w:t xml:space="preserve"> Минздрава России по научной работе и инновациям, член Национального гематологического общества, член Российского профессионального общества онкогематологов</w:t>
      </w:r>
      <w:r>
        <w:t>.</w:t>
      </w:r>
    </w:p>
    <w:p w:rsidR="00130BC5" w:rsidRPr="00492620" w:rsidRDefault="00130BC5" w:rsidP="002F2D5C">
      <w:pPr>
        <w:pStyle w:val="a5"/>
        <w:numPr>
          <w:ilvl w:val="0"/>
          <w:numId w:val="56"/>
        </w:numPr>
        <w:spacing w:before="0" w:after="0"/>
      </w:pPr>
      <w:r w:rsidRPr="00362B53">
        <w:rPr>
          <w:b/>
        </w:rPr>
        <w:t xml:space="preserve">Вотякова Ольга Михайловна – </w:t>
      </w:r>
      <w:r w:rsidRPr="00492620">
        <w:t>к</w:t>
      </w:r>
      <w:r w:rsidR="00596E93">
        <w:t>.</w:t>
      </w:r>
      <w:r w:rsidRPr="00492620">
        <w:t>м</w:t>
      </w:r>
      <w:r w:rsidR="00596E93">
        <w:t>.</w:t>
      </w:r>
      <w:r w:rsidRPr="00492620">
        <w:t>н</w:t>
      </w:r>
      <w:r w:rsidR="00596E93">
        <w:t>.</w:t>
      </w:r>
      <w:r w:rsidRPr="00492620">
        <w:t>, с</w:t>
      </w:r>
      <w:r w:rsidR="00596E93">
        <w:t>.</w:t>
      </w:r>
      <w:r w:rsidRPr="00492620">
        <w:t>н</w:t>
      </w:r>
      <w:r w:rsidR="00596E93">
        <w:t>.</w:t>
      </w:r>
      <w:r w:rsidRPr="00492620">
        <w:t>с</w:t>
      </w:r>
      <w:r w:rsidR="00596E93">
        <w:t>.</w:t>
      </w:r>
      <w:r w:rsidRPr="00492620">
        <w:t xml:space="preserve"> </w:t>
      </w:r>
      <w:r w:rsidR="00596E93">
        <w:t>ФГБУ «</w:t>
      </w:r>
      <w:r w:rsidR="00D20B9A" w:rsidRPr="00492620">
        <w:t>НМИЦ онкологии им. Н.Н. Блохина</w:t>
      </w:r>
      <w:r w:rsidR="00596E93">
        <w:t>»</w:t>
      </w:r>
      <w:r w:rsidR="00D20B9A" w:rsidRPr="00492620">
        <w:t xml:space="preserve"> Минздрава России</w:t>
      </w:r>
      <w:r w:rsidRPr="00492620">
        <w:t>, член Российского профессионального общества онкогематологов</w:t>
      </w:r>
      <w:r w:rsidR="00362B53">
        <w:t>.</w:t>
      </w:r>
    </w:p>
    <w:p w:rsidR="005D06F2" w:rsidRPr="005D06F2" w:rsidRDefault="005D06F2" w:rsidP="005D06F2">
      <w:pPr>
        <w:pStyle w:val="a5"/>
        <w:numPr>
          <w:ilvl w:val="0"/>
          <w:numId w:val="56"/>
        </w:numPr>
        <w:spacing w:before="0" w:after="0"/>
        <w:rPr>
          <w:b/>
        </w:rPr>
      </w:pPr>
      <w:r w:rsidRPr="00362B53">
        <w:rPr>
          <w:b/>
        </w:rPr>
        <w:t xml:space="preserve">Рехтина Ирина Германовна – </w:t>
      </w:r>
      <w:r w:rsidRPr="00492620">
        <w:t>д</w:t>
      </w:r>
      <w:r>
        <w:t>.</w:t>
      </w:r>
      <w:r w:rsidRPr="00492620">
        <w:t>м</w:t>
      </w:r>
      <w:r>
        <w:t>.</w:t>
      </w:r>
      <w:r w:rsidRPr="00492620">
        <w:t>н</w:t>
      </w:r>
      <w:r>
        <w:t>.</w:t>
      </w:r>
      <w:r w:rsidRPr="00492620">
        <w:t>, в</w:t>
      </w:r>
      <w:r>
        <w:t>.</w:t>
      </w:r>
      <w:r w:rsidRPr="00492620">
        <w:t>н</w:t>
      </w:r>
      <w:r>
        <w:t>.</w:t>
      </w:r>
      <w:r w:rsidRPr="00492620">
        <w:t>с</w:t>
      </w:r>
      <w:r>
        <w:t>.</w:t>
      </w:r>
      <w:r w:rsidRPr="00492620">
        <w:t xml:space="preserve"> </w:t>
      </w:r>
      <w:r>
        <w:t>ФГБУ «</w:t>
      </w:r>
      <w:r w:rsidRPr="00492620">
        <w:t>НМИЦ гематологии</w:t>
      </w:r>
      <w:r>
        <w:t>»</w:t>
      </w:r>
      <w:r w:rsidRPr="00492620">
        <w:t xml:space="preserve"> Минздрава России, член Национального гематологического общества, член Ассоциации нефрологов</w:t>
      </w:r>
      <w:r>
        <w:t>.</w:t>
      </w:r>
    </w:p>
    <w:p w:rsidR="005D06F2" w:rsidRPr="005D06F2" w:rsidRDefault="005D06F2" w:rsidP="005D06F2">
      <w:pPr>
        <w:pStyle w:val="a5"/>
        <w:numPr>
          <w:ilvl w:val="0"/>
          <w:numId w:val="56"/>
        </w:numPr>
        <w:spacing w:after="0"/>
        <w:contextualSpacing w:val="0"/>
      </w:pPr>
      <w:r>
        <w:rPr>
          <w:b/>
        </w:rPr>
        <w:t xml:space="preserve">Османов Евгений Александрович, </w:t>
      </w:r>
      <w:r>
        <w:rPr>
          <w:bCs/>
        </w:rPr>
        <w:t xml:space="preserve">д.м.н., профессор, зав. отделом гематологии и трансплантации костного мозга ФГБУ «НМИЦ онкологии им. Н.Н. Блохина» Минздрава России, профессор кафедры онкологии ФГАОУ ВО Первый МГМУ имени И.М. Сеченова Минздрава Росси, </w:t>
      </w:r>
      <w:r>
        <w:t>член правления Национального гематологического общества.</w:t>
      </w:r>
    </w:p>
    <w:p w:rsidR="005D06F2" w:rsidRDefault="005D06F2" w:rsidP="005D06F2">
      <w:pPr>
        <w:pStyle w:val="a5"/>
        <w:numPr>
          <w:ilvl w:val="0"/>
          <w:numId w:val="56"/>
        </w:numPr>
        <w:spacing w:after="0"/>
        <w:contextualSpacing w:val="0"/>
      </w:pPr>
      <w:r w:rsidRPr="002E1CB9">
        <w:rPr>
          <w:b/>
        </w:rPr>
        <w:t>Поддубная Ирина Владимировна</w:t>
      </w:r>
      <w:r>
        <w:rPr>
          <w:b/>
        </w:rPr>
        <w:t xml:space="preserve"> –</w:t>
      </w:r>
      <w:r>
        <w:t xml:space="preserve"> академик РАН, заслуженный деятель образования РФ, д.м.н., профессор, зав. кафедрой онкологии и паллиативной медицины, проректор по лечебной работе и международному сотрудничеству ГБОУ ДПО РМАНПО Минздрава России, председатель Российского общества онкогематологов.</w:t>
      </w:r>
    </w:p>
    <w:p w:rsidR="0083371C" w:rsidRDefault="0083371C" w:rsidP="005D06F2">
      <w:pPr>
        <w:pStyle w:val="a5"/>
        <w:numPr>
          <w:ilvl w:val="0"/>
          <w:numId w:val="56"/>
        </w:numPr>
        <w:spacing w:after="0"/>
        <w:contextualSpacing w:val="0"/>
      </w:pPr>
      <w:r>
        <w:rPr>
          <w:b/>
        </w:rPr>
        <w:t>Поспелова Татьяна Ивановна –</w:t>
      </w:r>
      <w:r>
        <w:t xml:space="preserve"> д.м.н., профессор, руководитель Новосибирского городского гематологического центра, проректор по научной работе, зав. Кафедрой терапии, гематологии и трансфузиологии Новосибирского государственного медицинского университета, член Национального гематологического общества, член Российского общества онкогематологов</w:t>
      </w:r>
    </w:p>
    <w:p w:rsidR="005D06F2" w:rsidRPr="005D06F2" w:rsidRDefault="005D06F2" w:rsidP="005D06F2">
      <w:pPr>
        <w:pStyle w:val="a5"/>
        <w:numPr>
          <w:ilvl w:val="0"/>
          <w:numId w:val="56"/>
        </w:numPr>
        <w:spacing w:after="0"/>
        <w:contextualSpacing w:val="0"/>
      </w:pPr>
      <w:bookmarkStart w:id="50" w:name="_Hlk19634943"/>
      <w:r w:rsidRPr="005D06F2">
        <w:rPr>
          <w:b/>
          <w:bCs/>
        </w:rPr>
        <w:t>Гривцова Людмила Юрьевна</w:t>
      </w:r>
      <w:r>
        <w:t xml:space="preserve"> – к.м.н., к.б.н., зав. отделом лабораторной медицины </w:t>
      </w:r>
      <w:r w:rsidRPr="000B0DE9">
        <w:t xml:space="preserve">МРНЦ им. А.Ф. Цыба - филиал ФГБУ </w:t>
      </w:r>
      <w:r>
        <w:t>«</w:t>
      </w:r>
      <w:r w:rsidRPr="000B0DE9">
        <w:t>НМИЦ радиологии</w:t>
      </w:r>
      <w:r>
        <w:t>»</w:t>
      </w:r>
      <w:r w:rsidRPr="000B0DE9">
        <w:t xml:space="preserve"> Минздрава России</w:t>
      </w:r>
      <w:r>
        <w:t>, член Ассоциации онкологов России и Российской Ассоциации терапевтических радиационных онкологов.</w:t>
      </w:r>
    </w:p>
    <w:p w:rsidR="005D06F2" w:rsidRDefault="005D06F2" w:rsidP="005D06F2">
      <w:pPr>
        <w:pStyle w:val="a5"/>
        <w:numPr>
          <w:ilvl w:val="0"/>
          <w:numId w:val="56"/>
        </w:numPr>
        <w:spacing w:after="0"/>
        <w:contextualSpacing w:val="0"/>
      </w:pPr>
      <w:r>
        <w:rPr>
          <w:b/>
        </w:rPr>
        <w:t>Фалалеева Наталья Александровна –</w:t>
      </w:r>
      <w:r>
        <w:t xml:space="preserve"> </w:t>
      </w:r>
      <w:r w:rsidRPr="005D06F2">
        <w:t>д.м.н.</w:t>
      </w:r>
      <w:r>
        <w:t xml:space="preserve">, зав. отделением противоопухолевого лекарственного лечения </w:t>
      </w:r>
      <w:r w:rsidRPr="000B0DE9">
        <w:t xml:space="preserve">МРНЦ им. А.Ф. Цыба - филиал ФГБУ </w:t>
      </w:r>
      <w:r>
        <w:lastRenderedPageBreak/>
        <w:t>«</w:t>
      </w:r>
      <w:r w:rsidRPr="000B0DE9">
        <w:t>НМИЦ радиологии</w:t>
      </w:r>
      <w:r>
        <w:t>»</w:t>
      </w:r>
      <w:r w:rsidRPr="000B0DE9">
        <w:t xml:space="preserve"> Минздрава России</w:t>
      </w:r>
      <w:r>
        <w:t>, член Ассоциации онкологов России и Российской Ассоциации терапевтических радиационных онкологов</w:t>
      </w:r>
      <w:bookmarkEnd w:id="50"/>
      <w:r>
        <w:t>.</w:t>
      </w:r>
    </w:p>
    <w:p w:rsidR="00476626" w:rsidRDefault="00476626" w:rsidP="00476626">
      <w:pPr>
        <w:pStyle w:val="a5"/>
        <w:numPr>
          <w:ilvl w:val="0"/>
          <w:numId w:val="56"/>
        </w:numPr>
        <w:spacing w:before="0" w:after="0"/>
      </w:pPr>
      <w:r>
        <w:rPr>
          <w:b/>
          <w:bCs/>
        </w:rPr>
        <w:t>Байков Вадим Валентинович</w:t>
      </w:r>
      <w:r>
        <w:t xml:space="preserve"> – д.м.н., профессор кафедры патологической анатомии, заведующий лабораторией патоморфологии НИИ детской онкологии, гематологии и трансплантологии им. Р.М. Горбачевой Первого Санкт-Петербургского государственного медицинского университета им. акад. И.П. Павлова Минздрава России, член президиума Российского общества патологоанатомов, член правления Российского общества онкогематологов.</w:t>
      </w:r>
    </w:p>
    <w:p w:rsidR="00476626" w:rsidRPr="00766A45" w:rsidRDefault="00476626" w:rsidP="00D62DF3">
      <w:pPr>
        <w:pStyle w:val="a5"/>
        <w:numPr>
          <w:ilvl w:val="0"/>
          <w:numId w:val="56"/>
        </w:numPr>
        <w:spacing w:before="0" w:after="0"/>
      </w:pPr>
      <w:r>
        <w:rPr>
          <w:b/>
          <w:bCs/>
        </w:rPr>
        <w:t xml:space="preserve">Ковригина Алла Михайловна </w:t>
      </w:r>
      <w:r>
        <w:t>– д.б.н., профессор кафедры патологической анатомии, цитологии и молекулярной патологии Института повышения квалификации ФМБА РФ, заведующая патологоанатомическим отделением «НМИЦ гематологии» Минздрава России, член президиума Российского общества патологоанатомов, член правления Российского общества онкогематологов.</w:t>
      </w:r>
    </w:p>
    <w:p w:rsidR="00E92FAD" w:rsidRDefault="00E92FAD" w:rsidP="00D62DF3">
      <w:pPr>
        <w:pStyle w:val="Default"/>
        <w:numPr>
          <w:ilvl w:val="0"/>
          <w:numId w:val="56"/>
        </w:numPr>
        <w:spacing w:line="360" w:lineRule="auto"/>
        <w:jc w:val="both"/>
      </w:pPr>
      <w:bookmarkStart w:id="51" w:name="_Hlk19629332"/>
      <w:r w:rsidRPr="00E92FAD">
        <w:rPr>
          <w:b/>
          <w:bCs/>
        </w:rPr>
        <w:t>Невольских Алексей Алексеевич</w:t>
      </w:r>
      <w:r w:rsidRPr="000B0DE9">
        <w:t xml:space="preserve"> </w:t>
      </w:r>
      <w:r>
        <w:t>–</w:t>
      </w:r>
      <w:r w:rsidRPr="000B0DE9">
        <w:t xml:space="preserve"> д</w:t>
      </w:r>
      <w:r>
        <w:t xml:space="preserve">.м.н., </w:t>
      </w:r>
      <w:r w:rsidRPr="000B0DE9">
        <w:t xml:space="preserve">заместитель директора по лечебной  МРНЦ им. А.Ф. Цыба - филиал ФГБУ </w:t>
      </w:r>
      <w:r>
        <w:t>«</w:t>
      </w:r>
      <w:r w:rsidRPr="000B0DE9">
        <w:t>НМИЦ радиологии</w:t>
      </w:r>
      <w:r>
        <w:t>»</w:t>
      </w:r>
      <w:r w:rsidRPr="000B0DE9">
        <w:t xml:space="preserve"> Минздрава России.</w:t>
      </w:r>
    </w:p>
    <w:p w:rsidR="00E92FAD" w:rsidRDefault="00E92FAD" w:rsidP="00D62DF3">
      <w:pPr>
        <w:pStyle w:val="Default"/>
        <w:numPr>
          <w:ilvl w:val="0"/>
          <w:numId w:val="56"/>
        </w:numPr>
        <w:spacing w:line="360" w:lineRule="auto"/>
        <w:jc w:val="both"/>
      </w:pPr>
      <w:r w:rsidRPr="00E92FAD">
        <w:rPr>
          <w:b/>
          <w:bCs/>
        </w:rPr>
        <w:t>Иванов Сергей Анатольевич</w:t>
      </w:r>
      <w:r w:rsidRPr="000B0DE9">
        <w:t xml:space="preserve"> </w:t>
      </w:r>
      <w:r>
        <w:t>–</w:t>
      </w:r>
      <w:r w:rsidRPr="000B0DE9">
        <w:t> профессор РАН, д</w:t>
      </w:r>
      <w:r>
        <w:t xml:space="preserve">.м.н., </w:t>
      </w:r>
      <w:r w:rsidRPr="000B0DE9">
        <w:t xml:space="preserve">директор МРНЦ им. А.Ф. Цыба - филиал ФГБУ </w:t>
      </w:r>
      <w:r>
        <w:t>«</w:t>
      </w:r>
      <w:r w:rsidRPr="000B0DE9">
        <w:t>НМИЦ радиологии</w:t>
      </w:r>
      <w:r>
        <w:t>»</w:t>
      </w:r>
      <w:r w:rsidRPr="000B0DE9">
        <w:t xml:space="preserve"> Минздрава России.</w:t>
      </w:r>
    </w:p>
    <w:p w:rsidR="00E92FAD" w:rsidRDefault="00E92FAD" w:rsidP="00D62DF3">
      <w:pPr>
        <w:pStyle w:val="Default"/>
        <w:numPr>
          <w:ilvl w:val="0"/>
          <w:numId w:val="56"/>
        </w:numPr>
        <w:spacing w:line="360" w:lineRule="auto"/>
        <w:jc w:val="both"/>
      </w:pPr>
      <w:r w:rsidRPr="00E92FAD">
        <w:rPr>
          <w:b/>
          <w:bCs/>
        </w:rPr>
        <w:t>Хайлова Жанна Владимировна</w:t>
      </w:r>
      <w:r w:rsidRPr="000B0DE9">
        <w:t xml:space="preserve"> </w:t>
      </w:r>
      <w:r>
        <w:t>–</w:t>
      </w:r>
      <w:r w:rsidRPr="000B0DE9">
        <w:t xml:space="preserve"> кандидат медицинских наук, заместитель директора по организационно-методической работе МРНЦ им. А.Ф. Цыба - филиал ФГБУ "НМИЦ радиологии" Минздрава России.</w:t>
      </w:r>
    </w:p>
    <w:p w:rsidR="00E92FAD" w:rsidRDefault="00E92FAD" w:rsidP="00D62DF3">
      <w:pPr>
        <w:pStyle w:val="Default"/>
        <w:numPr>
          <w:ilvl w:val="0"/>
          <w:numId w:val="56"/>
        </w:numPr>
        <w:spacing w:line="360" w:lineRule="auto"/>
        <w:jc w:val="both"/>
      </w:pPr>
      <w:r w:rsidRPr="00E92FAD">
        <w:rPr>
          <w:b/>
          <w:bCs/>
          <w:shd w:val="clear" w:color="auto" w:fill="FFFFFF"/>
        </w:rPr>
        <w:t>Геворкян Тигран Гагикович</w:t>
      </w:r>
      <w:r w:rsidRPr="00E92FAD">
        <w:rPr>
          <w:shd w:val="clear" w:color="auto" w:fill="FFFFFF"/>
        </w:rPr>
        <w:t xml:space="preserve"> - заместитель директора НИИ КЭР ФГБУ НМИЦ Онкол</w:t>
      </w:r>
      <w:r>
        <w:rPr>
          <w:shd w:val="clear" w:color="auto" w:fill="FFFFFF"/>
        </w:rPr>
        <w:t>ог</w:t>
      </w:r>
      <w:r w:rsidRPr="00E92FAD">
        <w:rPr>
          <w:shd w:val="clear" w:color="auto" w:fill="FFFFFF"/>
        </w:rPr>
        <w:t>ии им.</w:t>
      </w:r>
      <w:r>
        <w:rPr>
          <w:shd w:val="clear" w:color="auto" w:fill="FFFFFF"/>
        </w:rPr>
        <w:t xml:space="preserve"> </w:t>
      </w:r>
      <w:r w:rsidRPr="00E92FAD">
        <w:rPr>
          <w:shd w:val="clear" w:color="auto" w:fill="FFFFFF"/>
        </w:rPr>
        <w:t>Н.Н. Блохина</w:t>
      </w:r>
    </w:p>
    <w:bookmarkEnd w:id="51"/>
    <w:p w:rsidR="004D7374" w:rsidRPr="00C512DE" w:rsidRDefault="004D7374" w:rsidP="00131E36">
      <w:pPr>
        <w:spacing w:before="0" w:after="0"/>
        <w:rPr>
          <w:b/>
        </w:rPr>
      </w:pPr>
      <w:r w:rsidRPr="00C512DE">
        <w:rPr>
          <w:b/>
        </w:rPr>
        <w:t xml:space="preserve">Конфликт интересов отсутствует. </w:t>
      </w:r>
    </w:p>
    <w:p w:rsidR="004D7374" w:rsidRPr="00E36DFA" w:rsidRDefault="004D7374" w:rsidP="00E36DFA">
      <w:pPr>
        <w:pStyle w:val="1"/>
      </w:pPr>
      <w:bookmarkStart w:id="52" w:name="_Toc520213131"/>
      <w:bookmarkStart w:id="53" w:name="_Toc24826832"/>
      <w:r w:rsidRPr="00E36DFA">
        <w:lastRenderedPageBreak/>
        <w:t>Приложение А2. Методология разработки клинических рекомендаций</w:t>
      </w:r>
      <w:bookmarkEnd w:id="52"/>
      <w:bookmarkEnd w:id="53"/>
    </w:p>
    <w:p w:rsidR="004D7374" w:rsidRPr="00362B53" w:rsidRDefault="004D7374" w:rsidP="00131E36">
      <w:pPr>
        <w:spacing w:before="0" w:after="0"/>
        <w:rPr>
          <w:b/>
        </w:rPr>
      </w:pPr>
      <w:r w:rsidRPr="00362B53">
        <w:rPr>
          <w:b/>
        </w:rPr>
        <w:t>Целевая аудитория данных клинических рекомендаций:</w:t>
      </w:r>
    </w:p>
    <w:p w:rsidR="004D7374" w:rsidRPr="0076263A" w:rsidRDefault="004D7374" w:rsidP="00131E36">
      <w:pPr>
        <w:spacing w:before="0" w:after="0"/>
        <w:ind w:firstLine="709"/>
      </w:pPr>
      <w:r>
        <w:t>1.</w:t>
      </w:r>
      <w:r>
        <w:tab/>
        <w:t>Врачи-</w:t>
      </w:r>
      <w:r w:rsidRPr="0076263A">
        <w:t>гематологи</w:t>
      </w:r>
      <w:r w:rsidR="00195599" w:rsidRPr="0076263A">
        <w:t>.</w:t>
      </w:r>
    </w:p>
    <w:p w:rsidR="004D7374" w:rsidRPr="0076263A" w:rsidRDefault="004D7374" w:rsidP="00131E36">
      <w:pPr>
        <w:spacing w:before="0" w:after="0"/>
        <w:ind w:firstLine="709"/>
      </w:pPr>
      <w:r w:rsidRPr="0076263A">
        <w:t>2.</w:t>
      </w:r>
      <w:r w:rsidRPr="0076263A">
        <w:tab/>
        <w:t>Врачи-онкологи</w:t>
      </w:r>
      <w:r w:rsidR="00195599" w:rsidRPr="0076263A">
        <w:t>.</w:t>
      </w:r>
    </w:p>
    <w:p w:rsidR="00230186" w:rsidRPr="0076263A" w:rsidRDefault="00230186" w:rsidP="00131E36">
      <w:pPr>
        <w:spacing w:before="0" w:after="0"/>
        <w:ind w:firstLine="709"/>
      </w:pPr>
      <w:r w:rsidRPr="0076263A">
        <w:t xml:space="preserve">3. </w:t>
      </w:r>
      <w:r w:rsidR="0076263A" w:rsidRPr="0076263A">
        <w:tab/>
        <w:t xml:space="preserve">Студенты </w:t>
      </w:r>
      <w:r w:rsidRPr="0076263A">
        <w:t>медицинских вузов</w:t>
      </w:r>
      <w:r w:rsidR="0076263A" w:rsidRPr="0076263A">
        <w:t>.</w:t>
      </w:r>
    </w:p>
    <w:p w:rsidR="000E19A9" w:rsidRPr="00473776" w:rsidRDefault="000E19A9" w:rsidP="00131E36">
      <w:pPr>
        <w:spacing w:before="0" w:after="0"/>
        <w:ind w:firstLine="709"/>
        <w:contextualSpacing/>
        <w:rPr>
          <w:b/>
        </w:rPr>
      </w:pPr>
      <w:r w:rsidRPr="00473776">
        <w:rPr>
          <w:b/>
        </w:rPr>
        <w:t>Методология сбора доказательств</w:t>
      </w:r>
    </w:p>
    <w:p w:rsidR="000E19A9" w:rsidRPr="00C512DE" w:rsidRDefault="000E19A9" w:rsidP="00131E36">
      <w:pPr>
        <w:spacing w:before="0" w:after="0"/>
        <w:ind w:firstLine="709"/>
        <w:contextualSpacing/>
      </w:pPr>
      <w:r w:rsidRPr="00C512DE">
        <w:t>Методы, использованные для сбора/селекции доказательств:</w:t>
      </w:r>
    </w:p>
    <w:p w:rsidR="000E19A9" w:rsidRDefault="000E19A9" w:rsidP="00131E36">
      <w:pPr>
        <w:spacing w:before="0" w:after="0"/>
        <w:ind w:firstLine="709"/>
        <w:contextualSpacing/>
      </w:pPr>
      <w:r>
        <w:t>Поиск публикаций в специализированных периодических печатных изданиях с импакт-фактором &gt;0</w:t>
      </w:r>
      <w:r w:rsidR="004542B0">
        <w:t>,</w:t>
      </w:r>
      <w:r>
        <w:t>3;</w:t>
      </w:r>
    </w:p>
    <w:p w:rsidR="000E19A9" w:rsidRPr="00473776" w:rsidRDefault="000E19A9" w:rsidP="00131E36">
      <w:pPr>
        <w:spacing w:before="0" w:after="0"/>
        <w:ind w:firstLine="709"/>
        <w:contextualSpacing/>
        <w:rPr>
          <w:b/>
        </w:rPr>
      </w:pPr>
      <w:r w:rsidRPr="00473776">
        <w:rPr>
          <w:b/>
        </w:rPr>
        <w:t>Поиск в элек</w:t>
      </w:r>
      <w:r w:rsidR="00DD4A18">
        <w:rPr>
          <w:b/>
        </w:rPr>
        <w:t>тронных базах данных</w:t>
      </w:r>
    </w:p>
    <w:p w:rsidR="000E19A9" w:rsidRPr="00C512DE" w:rsidRDefault="000E19A9" w:rsidP="00131E36">
      <w:pPr>
        <w:spacing w:before="0" w:after="0"/>
        <w:ind w:firstLine="709"/>
        <w:contextualSpacing/>
      </w:pPr>
      <w:r w:rsidRPr="00C512DE">
        <w:t>Базы дан</w:t>
      </w:r>
      <w:r w:rsidR="00DD4A18">
        <w:t>ных, использованных для сбора/</w:t>
      </w:r>
      <w:r w:rsidRPr="00C512DE">
        <w:t>селекции доказательств:</w:t>
      </w:r>
    </w:p>
    <w:p w:rsidR="000E19A9" w:rsidRDefault="000E19A9" w:rsidP="00131E36">
      <w:pPr>
        <w:spacing w:before="0" w:after="0"/>
        <w:ind w:firstLine="709"/>
        <w:contextualSpacing/>
      </w:pPr>
      <w:r>
        <w:t>Доказательной базой для рекомендаций являются публикации, вошедшие в Кохр</w:t>
      </w:r>
      <w:r w:rsidR="000103FE">
        <w:t>е</w:t>
      </w:r>
      <w:r>
        <w:t>йновскую библиотеку, базы данных PUBMED и MEDLINE. Глубина поиска состав</w:t>
      </w:r>
      <w:r w:rsidR="004542B0">
        <w:t>и</w:t>
      </w:r>
      <w:r>
        <w:t>ла 30 лет.</w:t>
      </w:r>
    </w:p>
    <w:p w:rsidR="000E19A9" w:rsidRPr="00C512DE" w:rsidRDefault="000E19A9" w:rsidP="00131E36">
      <w:pPr>
        <w:spacing w:before="0" w:after="0"/>
        <w:ind w:firstLine="709"/>
        <w:contextualSpacing/>
      </w:pPr>
      <w:r w:rsidRPr="00C512DE">
        <w:t>Методы, использованные для анализа доказательств:</w:t>
      </w:r>
    </w:p>
    <w:p w:rsidR="000E19A9" w:rsidRDefault="000E19A9" w:rsidP="00131E36">
      <w:pPr>
        <w:spacing w:before="0" w:after="0"/>
        <w:ind w:firstLine="709"/>
        <w:contextualSpacing/>
      </w:pPr>
      <w:r>
        <w:t>•</w:t>
      </w:r>
      <w:r>
        <w:tab/>
      </w:r>
      <w:r w:rsidR="00DD4A18">
        <w:t>о</w:t>
      </w:r>
      <w:r>
        <w:t>бзоры опубликованных метаанализов</w:t>
      </w:r>
      <w:r w:rsidR="00DD4A18">
        <w:t>;</w:t>
      </w:r>
    </w:p>
    <w:p w:rsidR="000E19A9" w:rsidRDefault="000E19A9" w:rsidP="00131E36">
      <w:pPr>
        <w:spacing w:before="0" w:after="0"/>
        <w:ind w:firstLine="709"/>
        <w:contextualSpacing/>
      </w:pPr>
      <w:r>
        <w:t>•</w:t>
      </w:r>
      <w:r>
        <w:tab/>
      </w:r>
      <w:r w:rsidR="00DD4A18">
        <w:t>с</w:t>
      </w:r>
      <w:r>
        <w:t>истематические обзоры с таблицами доказательств.</w:t>
      </w:r>
    </w:p>
    <w:p w:rsidR="000E19A9" w:rsidRPr="00C512DE" w:rsidRDefault="000E19A9" w:rsidP="00131E36">
      <w:pPr>
        <w:spacing w:before="0" w:after="0"/>
        <w:ind w:firstLine="709"/>
        <w:contextualSpacing/>
      </w:pPr>
      <w:r w:rsidRPr="00C512DE">
        <w:t>Методы, использованные для качества и силы доказательств:</w:t>
      </w:r>
    </w:p>
    <w:p w:rsidR="000E19A9" w:rsidRDefault="000E19A9" w:rsidP="00131E36">
      <w:pPr>
        <w:spacing w:before="0" w:after="0"/>
        <w:ind w:firstLine="709"/>
        <w:contextualSpacing/>
      </w:pPr>
      <w:r>
        <w:t>•</w:t>
      </w:r>
      <w:r>
        <w:tab/>
      </w:r>
      <w:r w:rsidR="00DD4A18">
        <w:t>к</w:t>
      </w:r>
      <w:r>
        <w:t>онсенсус экспертов</w:t>
      </w:r>
      <w:r w:rsidR="00DD4A18">
        <w:t>;</w:t>
      </w:r>
    </w:p>
    <w:p w:rsidR="000E19A9" w:rsidRDefault="000E19A9" w:rsidP="00131E36">
      <w:pPr>
        <w:spacing w:before="0" w:after="0"/>
        <w:ind w:firstLine="709"/>
        <w:contextualSpacing/>
      </w:pPr>
      <w:r>
        <w:t>•</w:t>
      </w:r>
      <w:r>
        <w:tab/>
      </w:r>
      <w:r w:rsidR="00DD4A18">
        <w:t>о</w:t>
      </w:r>
      <w:r>
        <w:t>ценка значимости доказательств в соответствии с рейтинговой схемой доказательств (табл.</w:t>
      </w:r>
      <w:r w:rsidR="00DD4A18">
        <w:t xml:space="preserve"> </w:t>
      </w:r>
      <w:r>
        <w:t>А</w:t>
      </w:r>
      <w:r w:rsidR="0076263A">
        <w:t>2.</w:t>
      </w:r>
      <w:r>
        <w:t>1</w:t>
      </w:r>
      <w:r w:rsidR="00DD4A18">
        <w:t xml:space="preserve">. ‒ </w:t>
      </w:r>
      <w:r>
        <w:t>А</w:t>
      </w:r>
      <w:r w:rsidR="0076263A">
        <w:t>2.3</w:t>
      </w:r>
      <w:r w:rsidR="00DD4A18">
        <w:t>.</w:t>
      </w:r>
      <w:r>
        <w:t>).</w:t>
      </w:r>
    </w:p>
    <w:p w:rsidR="000F250A" w:rsidRDefault="000F250A" w:rsidP="00131E36">
      <w:pPr>
        <w:spacing w:before="0" w:after="0"/>
        <w:ind w:firstLine="709"/>
        <w:contextualSpacing/>
      </w:pPr>
      <w:r>
        <w:t xml:space="preserve">В настоящих клинических рекомендациях приведены уровни доказательности рекомендаций в соответствии с проектом методических рекомендаций по оценке достоверности доказательств и убедительности рекомендаций ФГБУ «Центр экспертизы и контроля качества медицинской помощи» Минздрава России. </w:t>
      </w:r>
    </w:p>
    <w:p w:rsidR="000E19A9" w:rsidRDefault="004542B0" w:rsidP="00131E36">
      <w:pPr>
        <w:spacing w:before="0" w:after="0"/>
        <w:ind w:firstLine="709"/>
        <w:contextualSpacing/>
      </w:pPr>
      <w:r>
        <w:t>В</w:t>
      </w:r>
      <w:r w:rsidR="000E19A9">
        <w:t xml:space="preserve"> соответствии с данным проектом рекомендаций отдельным общепринятым методикам диагностики на основании консенсуса экспертов придан уровень </w:t>
      </w:r>
      <w:r w:rsidR="000E19A9">
        <w:rPr>
          <w:lang w:val="en-US"/>
        </w:rPr>
        <w:t>GPP</w:t>
      </w:r>
      <w:r w:rsidR="000E19A9" w:rsidRPr="008F62A5">
        <w:t xml:space="preserve"> (</w:t>
      </w:r>
      <w:r w:rsidR="000E19A9">
        <w:t>сложившаяся клиническая практика).</w:t>
      </w:r>
    </w:p>
    <w:p w:rsidR="00DD4A18" w:rsidRDefault="00DD4A18" w:rsidP="00131E36">
      <w:pPr>
        <w:spacing w:before="0" w:after="0"/>
        <w:rPr>
          <w:b/>
        </w:rPr>
      </w:pPr>
      <w:bookmarkStart w:id="54" w:name="_Ref515967586"/>
      <w:bookmarkStart w:id="55" w:name="_Hlk16603155"/>
    </w:p>
    <w:p w:rsidR="00C0307D" w:rsidRPr="007C14EE" w:rsidRDefault="00C0307D" w:rsidP="00131E36">
      <w:pPr>
        <w:spacing w:before="0" w:after="0"/>
      </w:pPr>
      <w:r w:rsidRPr="007C14EE">
        <w:rPr>
          <w:b/>
        </w:rPr>
        <w:t xml:space="preserve">Таблица </w:t>
      </w:r>
      <w:r w:rsidR="0076263A">
        <w:rPr>
          <w:b/>
        </w:rPr>
        <w:t>А2.</w:t>
      </w:r>
      <w:r w:rsidR="00A96FB6" w:rsidRPr="007C14EE">
        <w:rPr>
          <w:b/>
        </w:rPr>
        <w:fldChar w:fldCharType="begin"/>
      </w:r>
      <w:r w:rsidRPr="002F66BB">
        <w:rPr>
          <w:b/>
        </w:rPr>
        <w:instrText xml:space="preserve"> SEQ Таблица \* ARABIC </w:instrText>
      </w:r>
      <w:r w:rsidR="00A96FB6" w:rsidRPr="007C14EE">
        <w:rPr>
          <w:b/>
        </w:rPr>
        <w:fldChar w:fldCharType="separate"/>
      </w:r>
      <w:r w:rsidR="009744C4">
        <w:rPr>
          <w:b/>
          <w:noProof/>
        </w:rPr>
        <w:t>1</w:t>
      </w:r>
      <w:r w:rsidR="00A96FB6" w:rsidRPr="007C14EE">
        <w:rPr>
          <w:b/>
        </w:rPr>
        <w:fldChar w:fldCharType="end"/>
      </w:r>
      <w:bookmarkEnd w:id="54"/>
      <w:r w:rsidRPr="007C14EE">
        <w:rPr>
          <w:b/>
        </w:rPr>
        <w:t>.</w:t>
      </w:r>
      <w:r w:rsidR="0076263A">
        <w:rPr>
          <w:b/>
        </w:rPr>
        <w:t xml:space="preserve"> </w:t>
      </w:r>
      <w:r>
        <w:t>Шкала оценки уровней достоверности доказательств (</w:t>
      </w:r>
      <w:r w:rsidRPr="00544207">
        <w:t>УДД</w:t>
      </w:r>
      <w:r>
        <w:t>)</w:t>
      </w:r>
      <w:r w:rsidR="00DD4A18">
        <w:t xml:space="preserve"> </w:t>
      </w:r>
      <w:r>
        <w:t>для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754"/>
      </w:tblGrid>
      <w:tr w:rsidR="00C0307D" w:rsidRPr="00890289" w:rsidTr="00E36DFA">
        <w:trPr>
          <w:trHeight w:val="58"/>
        </w:trPr>
        <w:tc>
          <w:tcPr>
            <w:tcW w:w="427" w:type="pct"/>
            <w:shd w:val="clear" w:color="auto" w:fill="auto"/>
          </w:tcPr>
          <w:p w:rsidR="00C0307D" w:rsidRPr="00890289" w:rsidRDefault="00C0307D" w:rsidP="00E36DFA">
            <w:pPr>
              <w:spacing w:before="0" w:after="0" w:line="240" w:lineRule="auto"/>
              <w:jc w:val="center"/>
              <w:rPr>
                <w:b/>
                <w:color w:val="000000"/>
                <w:szCs w:val="24"/>
              </w:rPr>
            </w:pPr>
            <w:r w:rsidRPr="00890289">
              <w:rPr>
                <w:b/>
                <w:color w:val="000000"/>
                <w:szCs w:val="24"/>
              </w:rPr>
              <w:t>УДД</w:t>
            </w:r>
          </w:p>
        </w:tc>
        <w:tc>
          <w:tcPr>
            <w:tcW w:w="4573" w:type="pct"/>
            <w:shd w:val="clear" w:color="auto" w:fill="auto"/>
          </w:tcPr>
          <w:p w:rsidR="00C0307D" w:rsidRPr="00890289" w:rsidRDefault="00C0307D" w:rsidP="00E36DFA">
            <w:pPr>
              <w:spacing w:before="0" w:after="0" w:line="240" w:lineRule="auto"/>
              <w:jc w:val="center"/>
              <w:rPr>
                <w:b/>
                <w:color w:val="000000"/>
                <w:szCs w:val="24"/>
              </w:rPr>
            </w:pPr>
            <w:r w:rsidRPr="00890289">
              <w:rPr>
                <w:b/>
                <w:color w:val="000000"/>
                <w:szCs w:val="24"/>
              </w:rPr>
              <w:t>Расшифровка</w:t>
            </w:r>
          </w:p>
        </w:tc>
      </w:tr>
      <w:tr w:rsidR="00C0307D" w:rsidRPr="00890289" w:rsidTr="00E36DFA">
        <w:tc>
          <w:tcPr>
            <w:tcW w:w="427" w:type="pct"/>
            <w:shd w:val="clear" w:color="auto" w:fill="auto"/>
          </w:tcPr>
          <w:p w:rsidR="00C0307D" w:rsidRPr="00890289" w:rsidRDefault="00C0307D" w:rsidP="00E36DFA">
            <w:pPr>
              <w:spacing w:before="0" w:after="0" w:line="240" w:lineRule="auto"/>
              <w:jc w:val="center"/>
              <w:rPr>
                <w:color w:val="000000"/>
                <w:szCs w:val="24"/>
              </w:rPr>
            </w:pPr>
            <w:r w:rsidRPr="00890289">
              <w:rPr>
                <w:color w:val="000000"/>
                <w:szCs w:val="24"/>
              </w:rPr>
              <w:t>1</w:t>
            </w:r>
          </w:p>
        </w:tc>
        <w:tc>
          <w:tcPr>
            <w:tcW w:w="4573" w:type="pct"/>
            <w:shd w:val="clear" w:color="auto" w:fill="auto"/>
          </w:tcPr>
          <w:p w:rsidR="00C0307D" w:rsidRPr="00890289" w:rsidRDefault="00C0307D" w:rsidP="00E36DFA">
            <w:pPr>
              <w:spacing w:before="0" w:after="0" w:line="240" w:lineRule="auto"/>
              <w:rPr>
                <w:color w:val="000000"/>
                <w:szCs w:val="24"/>
              </w:rPr>
            </w:pPr>
            <w:r w:rsidRPr="00890289">
              <w:rPr>
                <w:color w:val="000000"/>
                <w:szCs w:val="24"/>
              </w:rPr>
              <w:t>Систематические обзоры исследований с контролем референсным методом</w:t>
            </w:r>
            <w:r w:rsidRPr="00890289">
              <w:rPr>
                <w:szCs w:val="24"/>
              </w:rPr>
              <w:t xml:space="preserve"> или </w:t>
            </w:r>
            <w:r w:rsidRPr="00890289">
              <w:rPr>
                <w:szCs w:val="24"/>
              </w:rPr>
              <w:lastRenderedPageBreak/>
              <w:t xml:space="preserve">систематический обзор рандомизированных клинических </w:t>
            </w:r>
            <w:r w:rsidR="004542B0" w:rsidRPr="00890289">
              <w:rPr>
                <w:szCs w:val="24"/>
              </w:rPr>
              <w:t>исследований с применением мета</w:t>
            </w:r>
            <w:r w:rsidRPr="00890289">
              <w:rPr>
                <w:szCs w:val="24"/>
              </w:rPr>
              <w:t>анализа</w:t>
            </w:r>
          </w:p>
        </w:tc>
      </w:tr>
      <w:tr w:rsidR="00C0307D" w:rsidRPr="00890289" w:rsidTr="00E36DFA">
        <w:tc>
          <w:tcPr>
            <w:tcW w:w="427" w:type="pct"/>
            <w:shd w:val="clear" w:color="auto" w:fill="auto"/>
          </w:tcPr>
          <w:p w:rsidR="00C0307D" w:rsidRPr="00890289" w:rsidRDefault="00C0307D" w:rsidP="00E36DFA">
            <w:pPr>
              <w:spacing w:before="0" w:after="0" w:line="240" w:lineRule="auto"/>
              <w:jc w:val="center"/>
              <w:rPr>
                <w:color w:val="000000"/>
                <w:szCs w:val="24"/>
              </w:rPr>
            </w:pPr>
            <w:r w:rsidRPr="00890289">
              <w:rPr>
                <w:color w:val="000000"/>
                <w:szCs w:val="24"/>
              </w:rPr>
              <w:lastRenderedPageBreak/>
              <w:t>2</w:t>
            </w:r>
          </w:p>
        </w:tc>
        <w:tc>
          <w:tcPr>
            <w:tcW w:w="4573" w:type="pct"/>
            <w:shd w:val="clear" w:color="auto" w:fill="auto"/>
          </w:tcPr>
          <w:p w:rsidR="00C0307D" w:rsidRPr="00890289" w:rsidRDefault="00C0307D" w:rsidP="00E36DFA">
            <w:pPr>
              <w:spacing w:before="0" w:after="0" w:line="240" w:lineRule="auto"/>
              <w:rPr>
                <w:color w:val="000000"/>
                <w:szCs w:val="24"/>
              </w:rPr>
            </w:pPr>
            <w:r w:rsidRPr="00890289">
              <w:rPr>
                <w:color w:val="000000"/>
                <w:szCs w:val="24"/>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w:t>
            </w:r>
            <w:r w:rsidR="004542B0" w:rsidRPr="00890289">
              <w:rPr>
                <w:color w:val="000000"/>
                <w:szCs w:val="24"/>
              </w:rPr>
              <w:t>сследований с применением мета</w:t>
            </w:r>
            <w:r w:rsidRPr="00890289">
              <w:rPr>
                <w:color w:val="000000"/>
                <w:szCs w:val="24"/>
              </w:rPr>
              <w:t>анализа</w:t>
            </w:r>
          </w:p>
        </w:tc>
      </w:tr>
      <w:tr w:rsidR="00C0307D" w:rsidRPr="00890289" w:rsidTr="00E36DFA">
        <w:tc>
          <w:tcPr>
            <w:tcW w:w="427" w:type="pct"/>
            <w:shd w:val="clear" w:color="auto" w:fill="auto"/>
          </w:tcPr>
          <w:p w:rsidR="00C0307D" w:rsidRPr="00890289" w:rsidRDefault="00C0307D" w:rsidP="00E36DFA">
            <w:pPr>
              <w:spacing w:before="0" w:after="0" w:line="240" w:lineRule="auto"/>
              <w:jc w:val="center"/>
              <w:rPr>
                <w:color w:val="000000"/>
                <w:szCs w:val="24"/>
              </w:rPr>
            </w:pPr>
            <w:r w:rsidRPr="00890289">
              <w:rPr>
                <w:color w:val="000000"/>
                <w:szCs w:val="24"/>
              </w:rPr>
              <w:t>3</w:t>
            </w:r>
          </w:p>
        </w:tc>
        <w:tc>
          <w:tcPr>
            <w:tcW w:w="4573" w:type="pct"/>
            <w:shd w:val="clear" w:color="auto" w:fill="auto"/>
          </w:tcPr>
          <w:p w:rsidR="00C0307D" w:rsidRPr="00890289" w:rsidRDefault="00C0307D" w:rsidP="00E36DFA">
            <w:pPr>
              <w:spacing w:before="0" w:after="0" w:line="240" w:lineRule="auto"/>
              <w:rPr>
                <w:color w:val="000000"/>
                <w:szCs w:val="24"/>
              </w:rPr>
            </w:pPr>
            <w:r w:rsidRPr="00890289">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4542B0" w:rsidRPr="00890289">
              <w:rPr>
                <w:color w:val="000000"/>
                <w:szCs w:val="24"/>
              </w:rPr>
              <w:t>,</w:t>
            </w:r>
            <w:r w:rsidRPr="00890289">
              <w:rPr>
                <w:color w:val="000000"/>
                <w:szCs w:val="24"/>
              </w:rPr>
              <w:t xml:space="preserve"> или нерандомизированные сравнительные исследования, в том числе когортные исследования</w:t>
            </w:r>
          </w:p>
        </w:tc>
      </w:tr>
      <w:tr w:rsidR="00C0307D" w:rsidRPr="00890289" w:rsidTr="00E36DFA">
        <w:tc>
          <w:tcPr>
            <w:tcW w:w="427" w:type="pct"/>
            <w:shd w:val="clear" w:color="auto" w:fill="auto"/>
          </w:tcPr>
          <w:p w:rsidR="00C0307D" w:rsidRPr="00890289" w:rsidRDefault="00C0307D" w:rsidP="00E36DFA">
            <w:pPr>
              <w:spacing w:before="0" w:after="0" w:line="240" w:lineRule="auto"/>
              <w:jc w:val="center"/>
              <w:rPr>
                <w:color w:val="000000"/>
                <w:szCs w:val="24"/>
              </w:rPr>
            </w:pPr>
            <w:r w:rsidRPr="00890289">
              <w:rPr>
                <w:color w:val="000000"/>
                <w:szCs w:val="24"/>
              </w:rPr>
              <w:t>4</w:t>
            </w:r>
          </w:p>
        </w:tc>
        <w:tc>
          <w:tcPr>
            <w:tcW w:w="4573" w:type="pct"/>
            <w:shd w:val="clear" w:color="auto" w:fill="auto"/>
          </w:tcPr>
          <w:p w:rsidR="00C0307D" w:rsidRPr="00890289" w:rsidRDefault="00C0307D" w:rsidP="00E36DFA">
            <w:pPr>
              <w:spacing w:before="0" w:after="0" w:line="240" w:lineRule="auto"/>
              <w:rPr>
                <w:color w:val="000000"/>
                <w:szCs w:val="24"/>
              </w:rPr>
            </w:pPr>
            <w:r w:rsidRPr="00890289">
              <w:rPr>
                <w:color w:val="000000"/>
                <w:szCs w:val="24"/>
              </w:rPr>
              <w:t>Несравнительные исследования, описание клинического случая</w:t>
            </w:r>
          </w:p>
        </w:tc>
      </w:tr>
      <w:tr w:rsidR="00C0307D" w:rsidRPr="00890289" w:rsidTr="00E36DFA">
        <w:tc>
          <w:tcPr>
            <w:tcW w:w="427" w:type="pct"/>
            <w:shd w:val="clear" w:color="auto" w:fill="auto"/>
          </w:tcPr>
          <w:p w:rsidR="00C0307D" w:rsidRPr="00890289" w:rsidRDefault="00C0307D" w:rsidP="00E36DFA">
            <w:pPr>
              <w:spacing w:before="0" w:after="0" w:line="240" w:lineRule="auto"/>
              <w:jc w:val="center"/>
              <w:rPr>
                <w:color w:val="000000"/>
                <w:szCs w:val="24"/>
              </w:rPr>
            </w:pPr>
            <w:r w:rsidRPr="00890289">
              <w:rPr>
                <w:color w:val="000000"/>
                <w:szCs w:val="24"/>
              </w:rPr>
              <w:t>5</w:t>
            </w:r>
          </w:p>
        </w:tc>
        <w:tc>
          <w:tcPr>
            <w:tcW w:w="4573" w:type="pct"/>
            <w:shd w:val="clear" w:color="auto" w:fill="auto"/>
          </w:tcPr>
          <w:p w:rsidR="00C0307D" w:rsidRPr="00890289" w:rsidRDefault="00C0307D" w:rsidP="00E36DFA">
            <w:pPr>
              <w:spacing w:before="0" w:after="0" w:line="240" w:lineRule="auto"/>
              <w:rPr>
                <w:color w:val="000000"/>
                <w:szCs w:val="24"/>
              </w:rPr>
            </w:pPr>
            <w:r w:rsidRPr="00890289">
              <w:rPr>
                <w:color w:val="000000"/>
                <w:szCs w:val="24"/>
              </w:rPr>
              <w:t>Имеется лишь обоснование механизма действия или мнение экспертов</w:t>
            </w:r>
          </w:p>
        </w:tc>
      </w:tr>
    </w:tbl>
    <w:p w:rsidR="00C0307D" w:rsidRDefault="00C0307D" w:rsidP="00131E36">
      <w:pPr>
        <w:spacing w:before="0" w:after="0"/>
      </w:pPr>
      <w:bookmarkStart w:id="56" w:name="_Ref515967623"/>
      <w:r w:rsidRPr="007C14EE">
        <w:rPr>
          <w:b/>
        </w:rPr>
        <w:t>Таблица</w:t>
      </w:r>
      <w:r w:rsidR="0076263A">
        <w:rPr>
          <w:b/>
        </w:rPr>
        <w:t xml:space="preserve"> А2.</w:t>
      </w:r>
      <w:r w:rsidR="00A96FB6" w:rsidRPr="007C14EE">
        <w:rPr>
          <w:b/>
        </w:rPr>
        <w:fldChar w:fldCharType="begin"/>
      </w:r>
      <w:r w:rsidRPr="007C14EE">
        <w:rPr>
          <w:b/>
        </w:rPr>
        <w:instrText xml:space="preserve"> SEQ Таблица \* ARABIC </w:instrText>
      </w:r>
      <w:r w:rsidR="00A96FB6" w:rsidRPr="007C14EE">
        <w:rPr>
          <w:b/>
        </w:rPr>
        <w:fldChar w:fldCharType="separate"/>
      </w:r>
      <w:r w:rsidR="009744C4">
        <w:rPr>
          <w:b/>
          <w:noProof/>
        </w:rPr>
        <w:t>2</w:t>
      </w:r>
      <w:r w:rsidR="00A96FB6" w:rsidRPr="007C14EE">
        <w:rPr>
          <w:b/>
        </w:rPr>
        <w:fldChar w:fldCharType="end"/>
      </w:r>
      <w:bookmarkEnd w:id="56"/>
      <w:r w:rsidRPr="007C14EE">
        <w:rPr>
          <w:b/>
        </w:rPr>
        <w:t>.</w:t>
      </w:r>
      <w:r w:rsidR="0076263A">
        <w:rPr>
          <w:b/>
        </w:rPr>
        <w:t xml:space="preserve"> </w:t>
      </w:r>
      <w:r>
        <w:t>Шкала оценки уровней достоверности доказательств</w:t>
      </w:r>
      <w:r w:rsidR="004542B0">
        <w:t xml:space="preserve"> (УДД)</w:t>
      </w:r>
      <w:r>
        <w:t xml:space="preserve"> для методов профилактики, лечения и реабилитации (профилактических, лечебных, реабилитационных</w:t>
      </w:r>
      <w:r w:rsidRPr="00257C6C">
        <w:t xml:space="preserve"> вмешательств</w:t>
      </w:r>
      <w:r>
        <w:t>)</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990"/>
      </w:tblGrid>
      <w:tr w:rsidR="00C0307D" w:rsidRPr="00890289" w:rsidTr="00E36DFA">
        <w:tc>
          <w:tcPr>
            <w:tcW w:w="360" w:type="pct"/>
            <w:shd w:val="clear" w:color="auto" w:fill="auto"/>
          </w:tcPr>
          <w:p w:rsidR="00C0307D" w:rsidRPr="00890289" w:rsidRDefault="00C0307D" w:rsidP="00E36DFA">
            <w:pPr>
              <w:spacing w:before="0" w:after="0" w:line="240" w:lineRule="auto"/>
              <w:jc w:val="center"/>
              <w:rPr>
                <w:b/>
                <w:color w:val="000000"/>
                <w:szCs w:val="24"/>
              </w:rPr>
            </w:pPr>
            <w:r w:rsidRPr="00890289">
              <w:rPr>
                <w:b/>
                <w:color w:val="000000"/>
                <w:szCs w:val="24"/>
              </w:rPr>
              <w:t>УДД</w:t>
            </w:r>
          </w:p>
        </w:tc>
        <w:tc>
          <w:tcPr>
            <w:tcW w:w="4640" w:type="pct"/>
            <w:shd w:val="clear" w:color="auto" w:fill="auto"/>
          </w:tcPr>
          <w:p w:rsidR="00C0307D" w:rsidRPr="00890289" w:rsidRDefault="00C0307D" w:rsidP="00E36DFA">
            <w:pPr>
              <w:spacing w:before="0" w:after="0" w:line="240" w:lineRule="auto"/>
              <w:jc w:val="center"/>
              <w:rPr>
                <w:b/>
                <w:color w:val="000000"/>
                <w:szCs w:val="24"/>
              </w:rPr>
            </w:pPr>
            <w:r w:rsidRPr="00890289">
              <w:rPr>
                <w:b/>
                <w:color w:val="000000"/>
                <w:szCs w:val="24"/>
              </w:rPr>
              <w:t xml:space="preserve">Расшифровка </w:t>
            </w:r>
          </w:p>
        </w:tc>
      </w:tr>
      <w:tr w:rsidR="00C0307D" w:rsidRPr="00890289" w:rsidTr="00E36DFA">
        <w:tc>
          <w:tcPr>
            <w:tcW w:w="360" w:type="pct"/>
            <w:shd w:val="clear" w:color="auto" w:fill="auto"/>
          </w:tcPr>
          <w:p w:rsidR="00C0307D" w:rsidRPr="00890289" w:rsidRDefault="00C0307D" w:rsidP="00E36DFA">
            <w:pPr>
              <w:spacing w:before="0" w:after="0" w:line="240" w:lineRule="auto"/>
              <w:jc w:val="center"/>
              <w:rPr>
                <w:color w:val="000000"/>
                <w:szCs w:val="24"/>
              </w:rPr>
            </w:pPr>
            <w:r w:rsidRPr="00890289">
              <w:rPr>
                <w:color w:val="000000"/>
                <w:szCs w:val="24"/>
              </w:rPr>
              <w:t>1</w:t>
            </w:r>
          </w:p>
        </w:tc>
        <w:tc>
          <w:tcPr>
            <w:tcW w:w="4640" w:type="pct"/>
            <w:shd w:val="clear" w:color="auto" w:fill="auto"/>
          </w:tcPr>
          <w:p w:rsidR="00C0307D" w:rsidRPr="00890289" w:rsidRDefault="00C0307D" w:rsidP="00E36DFA">
            <w:pPr>
              <w:spacing w:before="0" w:after="0" w:line="240" w:lineRule="auto"/>
              <w:rPr>
                <w:color w:val="000000"/>
                <w:szCs w:val="24"/>
              </w:rPr>
            </w:pPr>
            <w:r w:rsidRPr="00890289">
              <w:rPr>
                <w:color w:val="000000"/>
                <w:szCs w:val="24"/>
              </w:rPr>
              <w:t xml:space="preserve">Систематический обзор </w:t>
            </w:r>
            <w:r w:rsidR="004542B0" w:rsidRPr="00890289">
              <w:rPr>
                <w:szCs w:val="24"/>
              </w:rPr>
              <w:t>рандомизированных клинических исследований</w:t>
            </w:r>
            <w:r w:rsidRPr="00890289">
              <w:rPr>
                <w:color w:val="000000"/>
                <w:szCs w:val="24"/>
              </w:rPr>
              <w:t xml:space="preserve"> с применением метаанализа</w:t>
            </w:r>
          </w:p>
        </w:tc>
      </w:tr>
      <w:tr w:rsidR="00C0307D" w:rsidRPr="00890289" w:rsidTr="00E36DFA">
        <w:tc>
          <w:tcPr>
            <w:tcW w:w="360" w:type="pct"/>
            <w:shd w:val="clear" w:color="auto" w:fill="auto"/>
          </w:tcPr>
          <w:p w:rsidR="00C0307D" w:rsidRPr="00890289" w:rsidRDefault="00C0307D" w:rsidP="00E36DFA">
            <w:pPr>
              <w:spacing w:before="0" w:after="0" w:line="240" w:lineRule="auto"/>
              <w:jc w:val="center"/>
              <w:rPr>
                <w:color w:val="000000"/>
                <w:szCs w:val="24"/>
                <w:lang w:val="en-US"/>
              </w:rPr>
            </w:pPr>
            <w:r w:rsidRPr="00890289">
              <w:rPr>
                <w:color w:val="000000"/>
                <w:szCs w:val="24"/>
              </w:rPr>
              <w:t>2</w:t>
            </w:r>
          </w:p>
        </w:tc>
        <w:tc>
          <w:tcPr>
            <w:tcW w:w="4640" w:type="pct"/>
            <w:shd w:val="clear" w:color="auto" w:fill="auto"/>
          </w:tcPr>
          <w:p w:rsidR="00C0307D" w:rsidRPr="00890289" w:rsidRDefault="00C0307D" w:rsidP="00E36DFA">
            <w:pPr>
              <w:spacing w:before="0" w:after="0" w:line="240" w:lineRule="auto"/>
              <w:rPr>
                <w:color w:val="000000"/>
                <w:szCs w:val="24"/>
              </w:rPr>
            </w:pPr>
            <w:r w:rsidRPr="00890289">
              <w:rPr>
                <w:color w:val="000000"/>
                <w:szCs w:val="24"/>
              </w:rPr>
              <w:t xml:space="preserve">Отдельные </w:t>
            </w:r>
            <w:r w:rsidR="004542B0" w:rsidRPr="00890289">
              <w:rPr>
                <w:szCs w:val="24"/>
              </w:rPr>
              <w:t>рандомизированные клинические исследования</w:t>
            </w:r>
            <w:r w:rsidRPr="00890289">
              <w:rPr>
                <w:color w:val="000000"/>
                <w:szCs w:val="24"/>
              </w:rPr>
              <w:t xml:space="preserve"> и систематические обзоры исследований любого дизайна, за исключением </w:t>
            </w:r>
            <w:r w:rsidR="004542B0" w:rsidRPr="00890289">
              <w:rPr>
                <w:szCs w:val="24"/>
              </w:rPr>
              <w:t>рандомизированных клинических исследований</w:t>
            </w:r>
            <w:r w:rsidRPr="00890289">
              <w:rPr>
                <w:color w:val="000000"/>
                <w:szCs w:val="24"/>
              </w:rPr>
              <w:t xml:space="preserve"> с применением метаанализа</w:t>
            </w:r>
          </w:p>
        </w:tc>
      </w:tr>
      <w:tr w:rsidR="00C0307D" w:rsidRPr="00890289" w:rsidTr="00E36DFA">
        <w:tc>
          <w:tcPr>
            <w:tcW w:w="360" w:type="pct"/>
            <w:shd w:val="clear" w:color="auto" w:fill="auto"/>
          </w:tcPr>
          <w:p w:rsidR="00C0307D" w:rsidRPr="00890289" w:rsidRDefault="00C0307D" w:rsidP="00E36DFA">
            <w:pPr>
              <w:spacing w:before="0" w:after="0" w:line="240" w:lineRule="auto"/>
              <w:jc w:val="center"/>
              <w:rPr>
                <w:color w:val="000000"/>
                <w:szCs w:val="24"/>
              </w:rPr>
            </w:pPr>
            <w:r w:rsidRPr="00890289">
              <w:rPr>
                <w:color w:val="000000"/>
                <w:szCs w:val="24"/>
              </w:rPr>
              <w:t>3</w:t>
            </w:r>
          </w:p>
        </w:tc>
        <w:tc>
          <w:tcPr>
            <w:tcW w:w="4640" w:type="pct"/>
            <w:shd w:val="clear" w:color="auto" w:fill="auto"/>
          </w:tcPr>
          <w:p w:rsidR="00C0307D" w:rsidRPr="00890289" w:rsidRDefault="00C0307D" w:rsidP="00E36DFA">
            <w:pPr>
              <w:spacing w:before="0" w:after="0" w:line="240" w:lineRule="auto"/>
              <w:rPr>
                <w:color w:val="000000"/>
                <w:szCs w:val="24"/>
              </w:rPr>
            </w:pPr>
            <w:r w:rsidRPr="00890289">
              <w:rPr>
                <w:color w:val="000000"/>
                <w:szCs w:val="24"/>
              </w:rPr>
              <w:t xml:space="preserve">Нерандомизированные сравнительные исследования, в </w:t>
            </w:r>
            <w:r w:rsidR="004542B0" w:rsidRPr="00890289">
              <w:rPr>
                <w:color w:val="000000"/>
                <w:szCs w:val="24"/>
              </w:rPr>
              <w:t xml:space="preserve">том числе </w:t>
            </w:r>
            <w:r w:rsidRPr="00890289">
              <w:rPr>
                <w:color w:val="000000"/>
                <w:szCs w:val="24"/>
              </w:rPr>
              <w:t>когортные исследования</w:t>
            </w:r>
          </w:p>
        </w:tc>
      </w:tr>
      <w:tr w:rsidR="00C0307D" w:rsidRPr="00890289" w:rsidTr="00E36DFA">
        <w:tc>
          <w:tcPr>
            <w:tcW w:w="360" w:type="pct"/>
            <w:shd w:val="clear" w:color="auto" w:fill="auto"/>
          </w:tcPr>
          <w:p w:rsidR="00C0307D" w:rsidRPr="00890289" w:rsidRDefault="00C0307D" w:rsidP="00E36DFA">
            <w:pPr>
              <w:spacing w:before="0" w:after="0" w:line="240" w:lineRule="auto"/>
              <w:jc w:val="center"/>
              <w:rPr>
                <w:color w:val="000000"/>
                <w:szCs w:val="24"/>
              </w:rPr>
            </w:pPr>
            <w:r w:rsidRPr="00890289">
              <w:rPr>
                <w:color w:val="000000"/>
                <w:szCs w:val="24"/>
              </w:rPr>
              <w:t>4</w:t>
            </w:r>
          </w:p>
        </w:tc>
        <w:tc>
          <w:tcPr>
            <w:tcW w:w="4640" w:type="pct"/>
            <w:shd w:val="clear" w:color="auto" w:fill="auto"/>
          </w:tcPr>
          <w:p w:rsidR="00C0307D" w:rsidRPr="00890289" w:rsidRDefault="00C0307D" w:rsidP="00E36DFA">
            <w:pPr>
              <w:spacing w:before="0" w:after="0" w:line="240" w:lineRule="auto"/>
              <w:rPr>
                <w:color w:val="000000"/>
                <w:szCs w:val="24"/>
              </w:rPr>
            </w:pPr>
            <w:r w:rsidRPr="00890289">
              <w:rPr>
                <w:color w:val="000000"/>
                <w:szCs w:val="24"/>
              </w:rPr>
              <w:t>Несравнительные исследования, описание клинического случая или серии случаев, исследования случай</w:t>
            </w:r>
            <w:r w:rsidR="004542B0" w:rsidRPr="00890289">
              <w:rPr>
                <w:color w:val="000000"/>
                <w:szCs w:val="24"/>
              </w:rPr>
              <w:t>‒</w:t>
            </w:r>
            <w:r w:rsidRPr="00890289">
              <w:rPr>
                <w:color w:val="000000"/>
                <w:szCs w:val="24"/>
              </w:rPr>
              <w:t>контроль</w:t>
            </w:r>
          </w:p>
        </w:tc>
      </w:tr>
      <w:tr w:rsidR="00C0307D" w:rsidRPr="00890289" w:rsidTr="00E36DFA">
        <w:tc>
          <w:tcPr>
            <w:tcW w:w="360" w:type="pct"/>
            <w:shd w:val="clear" w:color="auto" w:fill="auto"/>
          </w:tcPr>
          <w:p w:rsidR="00C0307D" w:rsidRPr="00890289" w:rsidRDefault="00C0307D" w:rsidP="00E36DFA">
            <w:pPr>
              <w:spacing w:before="0" w:after="0" w:line="240" w:lineRule="auto"/>
              <w:jc w:val="center"/>
              <w:rPr>
                <w:color w:val="000000"/>
                <w:szCs w:val="24"/>
              </w:rPr>
            </w:pPr>
            <w:r w:rsidRPr="00890289">
              <w:rPr>
                <w:color w:val="000000"/>
                <w:szCs w:val="24"/>
              </w:rPr>
              <w:t>5</w:t>
            </w:r>
          </w:p>
        </w:tc>
        <w:tc>
          <w:tcPr>
            <w:tcW w:w="4640" w:type="pct"/>
            <w:shd w:val="clear" w:color="auto" w:fill="auto"/>
          </w:tcPr>
          <w:p w:rsidR="00C0307D" w:rsidRPr="00890289" w:rsidRDefault="00C0307D" w:rsidP="00E36DFA">
            <w:pPr>
              <w:spacing w:before="0" w:after="0" w:line="240" w:lineRule="auto"/>
              <w:rPr>
                <w:color w:val="000000"/>
                <w:szCs w:val="24"/>
              </w:rPr>
            </w:pPr>
            <w:r w:rsidRPr="00890289">
              <w:rPr>
                <w:color w:val="000000"/>
                <w:szCs w:val="24"/>
              </w:rPr>
              <w:t>Имеется лишь обоснование механизма действия вмешательства (доклинические исследования) или мнение экспертов</w:t>
            </w:r>
          </w:p>
        </w:tc>
      </w:tr>
    </w:tbl>
    <w:p w:rsidR="00C0307D" w:rsidRDefault="00C0307D" w:rsidP="00131E36">
      <w:pPr>
        <w:pStyle w:val="ac"/>
        <w:rPr>
          <w:rStyle w:val="ab"/>
        </w:rPr>
      </w:pPr>
    </w:p>
    <w:p w:rsidR="00C0307D" w:rsidRDefault="00C0307D" w:rsidP="00131E36">
      <w:pPr>
        <w:spacing w:before="0" w:after="0"/>
      </w:pPr>
      <w:bookmarkStart w:id="57" w:name="_Ref515967732"/>
      <w:r w:rsidRPr="00B15720">
        <w:rPr>
          <w:b/>
        </w:rPr>
        <w:t xml:space="preserve">Таблица </w:t>
      </w:r>
      <w:bookmarkEnd w:id="57"/>
      <w:r w:rsidR="0076263A">
        <w:rPr>
          <w:b/>
        </w:rPr>
        <w:t>А2.</w:t>
      </w:r>
      <w:r>
        <w:rPr>
          <w:b/>
        </w:rPr>
        <w:t>3</w:t>
      </w:r>
      <w:r w:rsidRPr="00B15720">
        <w:rPr>
          <w:b/>
        </w:rPr>
        <w:t>.</w:t>
      </w:r>
      <w:r w:rsidR="0076263A">
        <w:rPr>
          <w:b/>
        </w:rPr>
        <w:t xml:space="preserve"> </w:t>
      </w:r>
      <w:r>
        <w:t>Шкала оценки уровней убедительности рекомендаций</w:t>
      </w:r>
      <w:r w:rsidRPr="003311A4">
        <w:t xml:space="preserve"> </w:t>
      </w:r>
      <w:r w:rsidR="004542B0">
        <w:t xml:space="preserve">(УУР) </w:t>
      </w:r>
      <w:r w:rsidRPr="003311A4">
        <w:t xml:space="preserve">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208"/>
      </w:tblGrid>
      <w:tr w:rsidR="00C0307D" w:rsidRPr="00890289" w:rsidTr="00E36DFA">
        <w:tc>
          <w:tcPr>
            <w:tcW w:w="712" w:type="pct"/>
            <w:shd w:val="clear" w:color="auto" w:fill="auto"/>
          </w:tcPr>
          <w:p w:rsidR="00C0307D" w:rsidRPr="00890289" w:rsidRDefault="00C0307D" w:rsidP="00E36DFA">
            <w:pPr>
              <w:spacing w:before="0" w:after="0" w:line="240" w:lineRule="auto"/>
              <w:jc w:val="center"/>
              <w:rPr>
                <w:b/>
                <w:color w:val="000000"/>
                <w:szCs w:val="24"/>
              </w:rPr>
            </w:pPr>
            <w:r w:rsidRPr="00890289">
              <w:rPr>
                <w:b/>
                <w:color w:val="000000"/>
                <w:szCs w:val="24"/>
              </w:rPr>
              <w:t>УУР</w:t>
            </w:r>
          </w:p>
        </w:tc>
        <w:tc>
          <w:tcPr>
            <w:tcW w:w="4288" w:type="pct"/>
            <w:shd w:val="clear" w:color="auto" w:fill="auto"/>
          </w:tcPr>
          <w:p w:rsidR="00C0307D" w:rsidRPr="00890289" w:rsidRDefault="00C0307D" w:rsidP="00E36DFA">
            <w:pPr>
              <w:spacing w:before="0" w:after="0" w:line="240" w:lineRule="auto"/>
              <w:jc w:val="center"/>
              <w:rPr>
                <w:b/>
                <w:color w:val="000000"/>
                <w:szCs w:val="24"/>
              </w:rPr>
            </w:pPr>
            <w:r w:rsidRPr="00890289">
              <w:rPr>
                <w:b/>
                <w:color w:val="000000"/>
                <w:szCs w:val="24"/>
              </w:rPr>
              <w:t>Расшифровка</w:t>
            </w:r>
          </w:p>
        </w:tc>
      </w:tr>
      <w:tr w:rsidR="00C0307D" w:rsidRPr="00890289" w:rsidTr="00E36DFA">
        <w:trPr>
          <w:trHeight w:val="1060"/>
        </w:trPr>
        <w:tc>
          <w:tcPr>
            <w:tcW w:w="712" w:type="pct"/>
            <w:shd w:val="clear" w:color="auto" w:fill="auto"/>
          </w:tcPr>
          <w:p w:rsidR="00C0307D" w:rsidRPr="00890289" w:rsidRDefault="00C0307D" w:rsidP="00E36DFA">
            <w:pPr>
              <w:spacing w:before="0" w:after="0" w:line="240" w:lineRule="auto"/>
              <w:jc w:val="center"/>
              <w:rPr>
                <w:color w:val="000000"/>
                <w:szCs w:val="24"/>
              </w:rPr>
            </w:pPr>
            <w:r w:rsidRPr="00890289">
              <w:rPr>
                <w:color w:val="000000"/>
                <w:szCs w:val="24"/>
                <w:lang w:val="en-US"/>
              </w:rPr>
              <w:t>A</w:t>
            </w:r>
          </w:p>
        </w:tc>
        <w:tc>
          <w:tcPr>
            <w:tcW w:w="4288" w:type="pct"/>
            <w:shd w:val="clear" w:color="auto" w:fill="auto"/>
          </w:tcPr>
          <w:p w:rsidR="00C0307D" w:rsidRPr="00890289" w:rsidRDefault="00C0307D" w:rsidP="00E36DFA">
            <w:pPr>
              <w:spacing w:before="0" w:after="0" w:line="240" w:lineRule="auto"/>
              <w:rPr>
                <w:color w:val="000000"/>
                <w:szCs w:val="24"/>
              </w:rPr>
            </w:pPr>
            <w:r w:rsidRPr="00890289">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C0307D" w:rsidRPr="00890289" w:rsidTr="00E36DFA">
        <w:trPr>
          <w:trHeight w:val="558"/>
        </w:trPr>
        <w:tc>
          <w:tcPr>
            <w:tcW w:w="712" w:type="pct"/>
            <w:shd w:val="clear" w:color="auto" w:fill="auto"/>
          </w:tcPr>
          <w:p w:rsidR="00C0307D" w:rsidRPr="00890289" w:rsidRDefault="00C0307D" w:rsidP="00E36DFA">
            <w:pPr>
              <w:spacing w:before="0" w:after="0" w:line="240" w:lineRule="auto"/>
              <w:jc w:val="center"/>
              <w:rPr>
                <w:color w:val="000000"/>
                <w:szCs w:val="24"/>
              </w:rPr>
            </w:pPr>
            <w:r w:rsidRPr="00890289">
              <w:rPr>
                <w:color w:val="000000"/>
                <w:szCs w:val="24"/>
              </w:rPr>
              <w:t>B</w:t>
            </w:r>
          </w:p>
        </w:tc>
        <w:tc>
          <w:tcPr>
            <w:tcW w:w="4288" w:type="pct"/>
            <w:shd w:val="clear" w:color="auto" w:fill="auto"/>
          </w:tcPr>
          <w:p w:rsidR="00C0307D" w:rsidRPr="00890289" w:rsidRDefault="00C0307D" w:rsidP="00E36DFA">
            <w:pPr>
              <w:spacing w:before="0" w:after="0" w:line="240" w:lineRule="auto"/>
              <w:rPr>
                <w:color w:val="000000"/>
                <w:szCs w:val="24"/>
              </w:rPr>
            </w:pPr>
            <w:r w:rsidRPr="00890289">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C0307D" w:rsidRPr="00890289" w:rsidTr="00E36DFA">
        <w:trPr>
          <w:trHeight w:val="798"/>
        </w:trPr>
        <w:tc>
          <w:tcPr>
            <w:tcW w:w="712" w:type="pct"/>
            <w:shd w:val="clear" w:color="auto" w:fill="auto"/>
          </w:tcPr>
          <w:p w:rsidR="00C0307D" w:rsidRPr="00890289" w:rsidRDefault="00C0307D" w:rsidP="00E36DFA">
            <w:pPr>
              <w:spacing w:before="0" w:after="0" w:line="240" w:lineRule="auto"/>
              <w:jc w:val="center"/>
              <w:rPr>
                <w:color w:val="000000"/>
                <w:szCs w:val="24"/>
              </w:rPr>
            </w:pPr>
            <w:r w:rsidRPr="00890289">
              <w:rPr>
                <w:color w:val="000000"/>
                <w:szCs w:val="24"/>
              </w:rPr>
              <w:t>C</w:t>
            </w:r>
          </w:p>
        </w:tc>
        <w:tc>
          <w:tcPr>
            <w:tcW w:w="4288" w:type="pct"/>
            <w:shd w:val="clear" w:color="auto" w:fill="auto"/>
          </w:tcPr>
          <w:p w:rsidR="00C0307D" w:rsidRPr="00890289" w:rsidRDefault="00C0307D" w:rsidP="00E36DFA">
            <w:pPr>
              <w:spacing w:before="0" w:after="0" w:line="240" w:lineRule="auto"/>
              <w:rPr>
                <w:color w:val="000000"/>
                <w:szCs w:val="24"/>
              </w:rPr>
            </w:pPr>
            <w:r w:rsidRPr="00890289">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bookmarkEnd w:id="55"/>
    <w:p w:rsidR="000E19A9" w:rsidRPr="00B93B9E" w:rsidRDefault="000E19A9" w:rsidP="00131E36">
      <w:pPr>
        <w:spacing w:before="0" w:after="0"/>
        <w:rPr>
          <w:b/>
        </w:rPr>
      </w:pPr>
      <w:r w:rsidRPr="00B93B9E">
        <w:rPr>
          <w:b/>
        </w:rPr>
        <w:t>Методология валидизации рекомендаций</w:t>
      </w:r>
    </w:p>
    <w:p w:rsidR="000E19A9" w:rsidRPr="00562AB9" w:rsidRDefault="000E19A9" w:rsidP="00131E36">
      <w:pPr>
        <w:spacing w:before="0" w:after="0"/>
      </w:pPr>
      <w:r w:rsidRPr="00562AB9">
        <w:t>Методы валидизации рекомендаций:</w:t>
      </w:r>
    </w:p>
    <w:p w:rsidR="000E19A9" w:rsidRDefault="000E19A9" w:rsidP="00131E36">
      <w:pPr>
        <w:spacing w:before="0" w:after="0"/>
        <w:ind w:firstLine="709"/>
      </w:pPr>
      <w:r>
        <w:lastRenderedPageBreak/>
        <w:t>•</w:t>
      </w:r>
      <w:r>
        <w:tab/>
      </w:r>
      <w:r w:rsidR="004542B0">
        <w:t>в</w:t>
      </w:r>
      <w:r>
        <w:t>нешняя экспертная оценка;</w:t>
      </w:r>
    </w:p>
    <w:p w:rsidR="000E19A9" w:rsidRDefault="000E19A9" w:rsidP="00131E36">
      <w:pPr>
        <w:spacing w:before="0" w:after="0"/>
        <w:ind w:firstLine="709"/>
      </w:pPr>
      <w:r>
        <w:t>•</w:t>
      </w:r>
      <w:r>
        <w:tab/>
      </w:r>
      <w:r w:rsidR="004542B0">
        <w:t>в</w:t>
      </w:r>
      <w:r>
        <w:t>нутренняя экспертная оценка.</w:t>
      </w:r>
    </w:p>
    <w:p w:rsidR="000E19A9" w:rsidRPr="004542B0" w:rsidRDefault="000E19A9" w:rsidP="00131E36">
      <w:pPr>
        <w:spacing w:before="0" w:after="0"/>
        <w:ind w:firstLine="709"/>
        <w:contextualSpacing/>
        <w:rPr>
          <w:b/>
        </w:rPr>
      </w:pPr>
      <w:r w:rsidRPr="004542B0">
        <w:rPr>
          <w:b/>
        </w:rPr>
        <w:t xml:space="preserve">Описание методики валидизации </w:t>
      </w:r>
      <w:r w:rsidR="004542B0">
        <w:rPr>
          <w:b/>
        </w:rPr>
        <w:t>рекомендаций</w:t>
      </w:r>
    </w:p>
    <w:p w:rsidR="000E19A9" w:rsidRDefault="000E19A9" w:rsidP="00131E36">
      <w:pPr>
        <w:spacing w:before="0" w:after="0"/>
        <w:ind w:firstLine="709"/>
        <w:contextualSpacing/>
      </w:pPr>
      <w:r>
        <w:t xml:space="preserve">Рекомендации обсуждены и одобрены ведущими специалистами профильных Федеральных центров </w:t>
      </w:r>
      <w:r w:rsidR="004542B0">
        <w:t>России</w:t>
      </w:r>
      <w:r>
        <w:t xml:space="preserve"> и практическими врачами. Проект клинических рекомендаций был рассмотрен на совещаниях рабочей группы в 2017</w:t>
      </w:r>
      <w:r w:rsidR="004542B0">
        <w:t>‒</w:t>
      </w:r>
      <w:r>
        <w:t>2018 гг., на Форуме экспертов по вопросам диагностики и лечения злокачественных лимфопролиферативных заболеваний «Лимфорум», ежегодной Российской конференции с международным участием «Злокачественные лимфомы», а также в рамках IV Конгресса гематологов России.</w:t>
      </w:r>
    </w:p>
    <w:p w:rsidR="000E19A9" w:rsidRPr="00890289" w:rsidRDefault="000E19A9" w:rsidP="00131E36">
      <w:pPr>
        <w:pStyle w:val="ac"/>
        <w:tabs>
          <w:tab w:val="left" w:pos="6073"/>
        </w:tabs>
        <w:contextualSpacing/>
        <w:jc w:val="both"/>
        <w:rPr>
          <w:rFonts w:eastAsia="Times New Roman"/>
        </w:rPr>
      </w:pPr>
      <w:r>
        <w:rPr>
          <w:rStyle w:val="ab"/>
        </w:rPr>
        <w:t>Порядок обновления клинических рекомендаций</w:t>
      </w:r>
      <w:r>
        <w:rPr>
          <w:rStyle w:val="ab"/>
        </w:rPr>
        <w:tab/>
      </w:r>
    </w:p>
    <w:p w:rsidR="004542B0" w:rsidRDefault="000E19A9" w:rsidP="004542B0">
      <w:pPr>
        <w:spacing w:before="0" w:after="0"/>
        <w:ind w:firstLine="709"/>
      </w:pPr>
      <w:r>
        <w:t xml:space="preserve">Актуализация проводится не реже чем один раз в три </w:t>
      </w:r>
      <w:r w:rsidRPr="00B33A5C">
        <w:t xml:space="preserve">года </w:t>
      </w:r>
      <w:r w:rsidR="00230186" w:rsidRPr="00B33A5C">
        <w:t xml:space="preserve">или ранее </w:t>
      </w:r>
      <w:r w:rsidRPr="00B33A5C">
        <w:t>с учетом появившейся новой информации о диагностике и тактике ведения пациентов</w:t>
      </w:r>
      <w:r>
        <w:t>, страдающих ММ. Решение об обновлении принимает Минздрав России на основе предложений, представленных медицинскими профессиональными некоммерческими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w:t>
      </w:r>
      <w:r w:rsidR="004542B0">
        <w:t xml:space="preserve"> </w:t>
      </w:r>
      <w:bookmarkStart w:id="58" w:name="__RefHeading___doc_a3"/>
      <w:bookmarkStart w:id="59" w:name="_Toc11747753"/>
    </w:p>
    <w:p w:rsidR="004542B0" w:rsidRPr="00E36DFA" w:rsidRDefault="000546DA">
      <w:pPr>
        <w:pStyle w:val="1"/>
      </w:pPr>
      <w:bookmarkStart w:id="60" w:name="_Toc24826833"/>
      <w:r w:rsidRPr="00E36DFA">
        <w:lastRenderedPageBreak/>
        <w:t xml:space="preserve">Приложение А3. </w:t>
      </w:r>
      <w:bookmarkEnd w:id="58"/>
      <w:r w:rsidRPr="00E36DFA">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59"/>
      <w:bookmarkEnd w:id="60"/>
    </w:p>
    <w:p w:rsidR="000546DA" w:rsidRPr="00E778E9" w:rsidRDefault="000546DA" w:rsidP="00E36DFA">
      <w:pPr>
        <w:pStyle w:val="2"/>
        <w:rPr>
          <w:rStyle w:val="ab"/>
          <w:rFonts w:eastAsia="Calibri"/>
          <w:b/>
          <w:bCs w:val="0"/>
          <w:szCs w:val="22"/>
          <w:u w:val="none"/>
        </w:rPr>
      </w:pPr>
      <w:bookmarkStart w:id="61" w:name="_Toc24826834"/>
      <w:r w:rsidRPr="00E778E9">
        <w:rPr>
          <w:rStyle w:val="ab"/>
          <w:b/>
          <w:bCs w:val="0"/>
        </w:rPr>
        <w:t>Приложение А3.1</w:t>
      </w:r>
      <w:r w:rsidR="003F3D12" w:rsidRPr="00E778E9">
        <w:rPr>
          <w:rStyle w:val="ab"/>
          <w:b/>
          <w:bCs w:val="0"/>
        </w:rPr>
        <w:t>. С</w:t>
      </w:r>
      <w:r w:rsidRPr="00E778E9">
        <w:rPr>
          <w:rStyle w:val="ab"/>
          <w:b/>
          <w:bCs w:val="0"/>
        </w:rPr>
        <w:t>хемы лекарственного лечения множественной миеломы</w:t>
      </w:r>
      <w:bookmarkEnd w:id="61"/>
    </w:p>
    <w:p w:rsidR="000546DA" w:rsidRPr="0001562B" w:rsidRDefault="000546DA" w:rsidP="00131E36">
      <w:pPr>
        <w:spacing w:before="0" w:after="0"/>
        <w:rPr>
          <w:rFonts w:eastAsia="Times New Roman"/>
          <w:b/>
          <w:i/>
          <w:szCs w:val="24"/>
          <w:lang w:eastAsia="ru-RU"/>
        </w:rPr>
      </w:pPr>
      <w:bookmarkStart w:id="62" w:name="_Toc520213135"/>
      <w:r w:rsidRPr="0001562B">
        <w:rPr>
          <w:rFonts w:eastAsia="Times New Roman"/>
          <w:b/>
          <w:i/>
          <w:szCs w:val="24"/>
          <w:lang w:eastAsia="ru-RU"/>
        </w:rPr>
        <w:t xml:space="preserve">Схемы лечения первичных </w:t>
      </w:r>
      <w:r w:rsidRPr="00FB03BB">
        <w:rPr>
          <w:rFonts w:eastAsia="Times New Roman"/>
          <w:b/>
          <w:i/>
          <w:szCs w:val="24"/>
          <w:lang w:eastAsia="ru-RU"/>
        </w:rPr>
        <w:t>пациентов</w:t>
      </w:r>
      <w:r w:rsidRPr="0001562B">
        <w:rPr>
          <w:rFonts w:eastAsia="Times New Roman"/>
          <w:b/>
          <w:i/>
          <w:szCs w:val="24"/>
          <w:lang w:eastAsia="ru-RU"/>
        </w:rPr>
        <w:t>, не являющихся кандидатами на трансплантацию</w:t>
      </w:r>
    </w:p>
    <w:p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VMP</w:t>
      </w:r>
    </w:p>
    <w:p w:rsidR="000546DA" w:rsidRPr="00C37E76" w:rsidRDefault="000546DA" w:rsidP="002F2D5C">
      <w:pPr>
        <w:numPr>
          <w:ilvl w:val="0"/>
          <w:numId w:val="15"/>
        </w:numPr>
        <w:spacing w:before="0" w:after="0"/>
        <w:contextualSpacing/>
        <w:jc w:val="left"/>
        <w:rPr>
          <w:rFonts w:eastAsia="Times New Roman"/>
          <w:szCs w:val="24"/>
          <w:lang w:eastAsia="ru-RU"/>
        </w:rPr>
      </w:pPr>
      <w:r w:rsidRPr="00C37E76">
        <w:rPr>
          <w:rFonts w:eastAsia="Times New Roman"/>
          <w:szCs w:val="24"/>
          <w:lang w:eastAsia="ru-RU"/>
        </w:rPr>
        <w:t>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r w:rsidRPr="00C37E76">
        <w:rPr>
          <w:rFonts w:eastAsia="Times New Roman"/>
          <w:szCs w:val="24"/>
          <w:lang w:eastAsia="ru-RU"/>
        </w:rPr>
        <w:t xml:space="preserve"> курсы:</w:t>
      </w:r>
    </w:p>
    <w:p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Мелфалан</w:t>
      </w:r>
      <w:r>
        <w:rPr>
          <w:rFonts w:eastAsia="Times New Roman"/>
          <w:szCs w:val="24"/>
          <w:lang w:eastAsia="ru-RU"/>
        </w:rPr>
        <w:t>**</w:t>
      </w:r>
      <w:r w:rsidRPr="00C37E76">
        <w:rPr>
          <w:rFonts w:eastAsia="Times New Roman"/>
          <w:szCs w:val="24"/>
          <w:lang w:eastAsia="ru-RU"/>
        </w:rPr>
        <w:t xml:space="preserve"> 9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Преднизолон</w:t>
      </w:r>
      <w:r>
        <w:rPr>
          <w:rFonts w:eastAsia="Times New Roman"/>
          <w:szCs w:val="24"/>
          <w:lang w:eastAsia="ru-RU"/>
        </w:rPr>
        <w:t>**</w:t>
      </w:r>
      <w:r w:rsidRPr="00C37E76">
        <w:rPr>
          <w:rFonts w:eastAsia="Times New Roman"/>
          <w:szCs w:val="24"/>
          <w:lang w:eastAsia="ru-RU"/>
        </w:rPr>
        <w:t xml:space="preserve"> 60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4, 8, 11, 22, 25, 29, 32</w:t>
      </w:r>
      <w:r w:rsidR="006312BA">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43</w:t>
      </w:r>
      <w:r w:rsidR="006312BA">
        <w:rPr>
          <w:rFonts w:eastAsia="Times New Roman"/>
          <w:szCs w:val="24"/>
          <w:lang w:eastAsia="ru-RU"/>
        </w:rPr>
        <w:t>-й</w:t>
      </w:r>
      <w:r w:rsidRPr="00C37E76">
        <w:rPr>
          <w:rFonts w:eastAsia="Times New Roman"/>
          <w:szCs w:val="24"/>
          <w:lang w:eastAsia="ru-RU"/>
        </w:rPr>
        <w:t xml:space="preserve"> день</w:t>
      </w:r>
      <w:r w:rsidR="006312BA">
        <w:rPr>
          <w:rFonts w:eastAsia="Times New Roman"/>
          <w:szCs w:val="24"/>
          <w:lang w:eastAsia="ru-RU"/>
        </w:rPr>
        <w:t>.</w:t>
      </w:r>
    </w:p>
    <w:p w:rsidR="000546DA" w:rsidRPr="00C37E76" w:rsidRDefault="000546DA" w:rsidP="002F2D5C">
      <w:pPr>
        <w:numPr>
          <w:ilvl w:val="0"/>
          <w:numId w:val="15"/>
        </w:numPr>
        <w:spacing w:before="0" w:after="0"/>
        <w:contextualSpacing/>
        <w:jc w:val="left"/>
        <w:rPr>
          <w:rFonts w:eastAsia="Times New Roman"/>
          <w:szCs w:val="24"/>
          <w:lang w:eastAsia="ru-RU"/>
        </w:rPr>
      </w:pPr>
      <w:r w:rsidRPr="00C37E76">
        <w:rPr>
          <w:rFonts w:eastAsia="Times New Roman"/>
          <w:szCs w:val="24"/>
          <w:lang w:eastAsia="ru-RU"/>
        </w:rPr>
        <w:t>5</w:t>
      </w:r>
      <w:r w:rsidR="006312BA">
        <w:rPr>
          <w:rFonts w:eastAsia="Times New Roman"/>
          <w:szCs w:val="24"/>
          <w:lang w:eastAsia="ru-RU"/>
        </w:rPr>
        <w:t>‒</w:t>
      </w:r>
      <w:r w:rsidRPr="00C37E76">
        <w:rPr>
          <w:rFonts w:eastAsia="Times New Roman"/>
          <w:szCs w:val="24"/>
          <w:lang w:eastAsia="ru-RU"/>
        </w:rPr>
        <w:t>9</w:t>
      </w:r>
      <w:r w:rsidR="006312BA">
        <w:rPr>
          <w:rFonts w:eastAsia="Times New Roman"/>
          <w:szCs w:val="24"/>
          <w:lang w:eastAsia="ru-RU"/>
        </w:rPr>
        <w:t>-й</w:t>
      </w:r>
      <w:r w:rsidRPr="00C37E76">
        <w:rPr>
          <w:rFonts w:eastAsia="Times New Roman"/>
          <w:szCs w:val="24"/>
          <w:lang w:eastAsia="ru-RU"/>
        </w:rPr>
        <w:t xml:space="preserve"> курсы:</w:t>
      </w:r>
    </w:p>
    <w:p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Мелфалан</w:t>
      </w:r>
      <w:r>
        <w:rPr>
          <w:rFonts w:eastAsia="Times New Roman"/>
          <w:szCs w:val="24"/>
          <w:lang w:eastAsia="ru-RU"/>
        </w:rPr>
        <w:t>**</w:t>
      </w:r>
      <w:r w:rsidRPr="00C37E76">
        <w:rPr>
          <w:rFonts w:eastAsia="Times New Roman"/>
          <w:szCs w:val="24"/>
          <w:lang w:eastAsia="ru-RU"/>
        </w:rPr>
        <w:t xml:space="preserve"> 9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Преднизолон</w:t>
      </w:r>
      <w:r>
        <w:rPr>
          <w:rFonts w:eastAsia="Times New Roman"/>
          <w:szCs w:val="24"/>
          <w:lang w:eastAsia="ru-RU"/>
        </w:rPr>
        <w:t>**</w:t>
      </w:r>
      <w:r w:rsidRPr="00C37E76">
        <w:rPr>
          <w:rFonts w:eastAsia="Times New Roman"/>
          <w:szCs w:val="24"/>
          <w:lang w:eastAsia="ru-RU"/>
        </w:rPr>
        <w:t xml:space="preserve"> 60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8, 22, 29</w:t>
      </w:r>
      <w:r w:rsidR="006312BA">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43</w:t>
      </w:r>
      <w:r w:rsidR="006312BA">
        <w:rPr>
          <w:rFonts w:eastAsia="Times New Roman"/>
          <w:szCs w:val="24"/>
          <w:lang w:eastAsia="ru-RU"/>
        </w:rPr>
        <w:t>-й</w:t>
      </w:r>
      <w:r w:rsidRPr="00C37E76">
        <w:rPr>
          <w:rFonts w:eastAsia="Times New Roman"/>
          <w:szCs w:val="24"/>
          <w:lang w:eastAsia="ru-RU"/>
        </w:rPr>
        <w:t xml:space="preserve"> день</w:t>
      </w:r>
      <w:r w:rsidR="006312BA">
        <w:rPr>
          <w:rFonts w:eastAsia="Times New Roman"/>
          <w:szCs w:val="24"/>
          <w:lang w:eastAsia="ru-RU"/>
        </w:rPr>
        <w:t>.</w:t>
      </w:r>
    </w:p>
    <w:p w:rsidR="000546DA" w:rsidRPr="00C37E76" w:rsidRDefault="000546DA" w:rsidP="002F2D5C">
      <w:pPr>
        <w:numPr>
          <w:ilvl w:val="0"/>
          <w:numId w:val="15"/>
        </w:numPr>
        <w:spacing w:before="0" w:after="0"/>
        <w:contextualSpacing/>
        <w:jc w:val="left"/>
        <w:rPr>
          <w:rFonts w:eastAsia="Times New Roman"/>
          <w:szCs w:val="24"/>
          <w:lang w:eastAsia="ru-RU"/>
        </w:rPr>
      </w:pPr>
      <w:r w:rsidRPr="00C37E76">
        <w:rPr>
          <w:rFonts w:eastAsia="Times New Roman"/>
          <w:szCs w:val="24"/>
          <w:lang w:eastAsia="ru-RU"/>
        </w:rPr>
        <w:t>Альтернативный вариант:</w:t>
      </w:r>
    </w:p>
    <w:p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Мелфалан</w:t>
      </w:r>
      <w:bookmarkStart w:id="63" w:name="_Hlk4063708"/>
      <w:r>
        <w:rPr>
          <w:rFonts w:eastAsia="Times New Roman"/>
          <w:szCs w:val="24"/>
          <w:lang w:eastAsia="ru-RU"/>
        </w:rPr>
        <w:t>**</w:t>
      </w:r>
      <w:bookmarkEnd w:id="63"/>
      <w:r w:rsidRPr="00C37E76">
        <w:rPr>
          <w:rFonts w:eastAsia="Times New Roman"/>
          <w:szCs w:val="24"/>
          <w:lang w:eastAsia="ru-RU"/>
        </w:rPr>
        <w:t xml:space="preserve"> 9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Преднизолон</w:t>
      </w:r>
      <w:r>
        <w:rPr>
          <w:rFonts w:eastAsia="Times New Roman"/>
          <w:szCs w:val="24"/>
          <w:lang w:eastAsia="ru-RU"/>
        </w:rPr>
        <w:t>**</w:t>
      </w:r>
      <w:r w:rsidRPr="00C37E76">
        <w:rPr>
          <w:rFonts w:eastAsia="Times New Roman"/>
          <w:szCs w:val="24"/>
          <w:lang w:eastAsia="ru-RU"/>
        </w:rPr>
        <w:t xml:space="preserve"> 60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8, 15, 22</w:t>
      </w:r>
      <w:r w:rsidR="006312BA">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36</w:t>
      </w:r>
      <w:r w:rsidR="006312BA">
        <w:rPr>
          <w:rFonts w:eastAsia="Times New Roman"/>
          <w:szCs w:val="24"/>
          <w:lang w:eastAsia="ru-RU"/>
        </w:rPr>
        <w:t>-й</w:t>
      </w:r>
      <w:r w:rsidRPr="00C37E76">
        <w:rPr>
          <w:rFonts w:eastAsia="Times New Roman"/>
          <w:szCs w:val="24"/>
          <w:lang w:eastAsia="ru-RU"/>
        </w:rPr>
        <w:t xml:space="preserve"> день</w:t>
      </w:r>
      <w:r w:rsidR="006312BA">
        <w:rPr>
          <w:rFonts w:eastAsia="Times New Roman"/>
          <w:szCs w:val="24"/>
          <w:lang w:eastAsia="ru-RU"/>
        </w:rPr>
        <w:t>.</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Проводят 9 курсов</w:t>
      </w:r>
    </w:p>
    <w:p w:rsidR="000546DA" w:rsidRPr="00C37E76" w:rsidRDefault="000546DA" w:rsidP="002F2D5C">
      <w:pPr>
        <w:numPr>
          <w:ilvl w:val="0"/>
          <w:numId w:val="15"/>
        </w:numPr>
        <w:spacing w:before="0" w:after="0"/>
        <w:contextualSpacing/>
        <w:jc w:val="left"/>
        <w:rPr>
          <w:rFonts w:eastAsia="Times New Roman"/>
          <w:szCs w:val="24"/>
          <w:lang w:eastAsia="ru-RU"/>
        </w:rPr>
      </w:pPr>
      <w:r w:rsidRPr="00C37E76">
        <w:rPr>
          <w:rFonts w:eastAsia="Times New Roman"/>
          <w:szCs w:val="24"/>
          <w:lang w:eastAsia="ru-RU"/>
        </w:rPr>
        <w:t>Модифицированный вариант</w:t>
      </w:r>
      <w:r w:rsidR="006312BA">
        <w:rPr>
          <w:rFonts w:eastAsia="Times New Roman"/>
          <w:szCs w:val="24"/>
          <w:lang w:eastAsia="ru-RU"/>
        </w:rPr>
        <w:t>:</w:t>
      </w:r>
    </w:p>
    <w:p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Мелфалан</w:t>
      </w:r>
      <w:r>
        <w:rPr>
          <w:rFonts w:eastAsia="Times New Roman"/>
          <w:szCs w:val="24"/>
          <w:lang w:eastAsia="ru-RU"/>
        </w:rPr>
        <w:t>**</w:t>
      </w:r>
      <w:r w:rsidRPr="00C37E76">
        <w:rPr>
          <w:rFonts w:eastAsia="Times New Roman"/>
          <w:szCs w:val="24"/>
          <w:lang w:eastAsia="ru-RU"/>
        </w:rPr>
        <w:t xml:space="preserve"> 9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Преднизолон</w:t>
      </w:r>
      <w:r>
        <w:rPr>
          <w:rFonts w:eastAsia="Times New Roman"/>
          <w:szCs w:val="24"/>
          <w:lang w:eastAsia="ru-RU"/>
        </w:rPr>
        <w:t>**</w:t>
      </w:r>
      <w:r w:rsidRPr="00C37E76">
        <w:rPr>
          <w:rFonts w:eastAsia="Times New Roman"/>
          <w:szCs w:val="24"/>
          <w:lang w:eastAsia="ru-RU"/>
        </w:rPr>
        <w:t xml:space="preserve"> 60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4, 8, 11, 22, 25, 29, 32</w:t>
      </w:r>
      <w:r w:rsidR="006312BA">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Проводят 1 курс, затем начиная с 43</w:t>
      </w:r>
      <w:r w:rsidR="006312BA">
        <w:rPr>
          <w:rFonts w:eastAsia="Times New Roman"/>
          <w:szCs w:val="24"/>
          <w:lang w:eastAsia="ru-RU"/>
        </w:rPr>
        <w:t>-го</w:t>
      </w:r>
      <w:r w:rsidRPr="00C37E76">
        <w:rPr>
          <w:rFonts w:eastAsia="Times New Roman"/>
          <w:szCs w:val="24"/>
          <w:lang w:eastAsia="ru-RU"/>
        </w:rPr>
        <w:t xml:space="preserve"> дня 8 курсов в следующем режиме:</w:t>
      </w:r>
    </w:p>
    <w:p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Мелфалан</w:t>
      </w:r>
      <w:r>
        <w:rPr>
          <w:rFonts w:eastAsia="Times New Roman"/>
          <w:szCs w:val="24"/>
          <w:lang w:eastAsia="ru-RU"/>
        </w:rPr>
        <w:t>**</w:t>
      </w:r>
      <w:r w:rsidRPr="00C37E76">
        <w:rPr>
          <w:rFonts w:eastAsia="Times New Roman"/>
          <w:szCs w:val="24"/>
          <w:lang w:eastAsia="ru-RU"/>
        </w:rPr>
        <w:t xml:space="preserve"> 9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Преднизолон</w:t>
      </w:r>
      <w:r>
        <w:rPr>
          <w:rFonts w:eastAsia="Times New Roman"/>
          <w:szCs w:val="24"/>
          <w:lang w:eastAsia="ru-RU"/>
        </w:rPr>
        <w:t>**</w:t>
      </w:r>
      <w:r w:rsidRPr="00C37E76">
        <w:rPr>
          <w:rFonts w:eastAsia="Times New Roman"/>
          <w:szCs w:val="24"/>
          <w:lang w:eastAsia="ru-RU"/>
        </w:rPr>
        <w:t xml:space="preserve"> 60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8, 22, 29</w:t>
      </w:r>
      <w:r w:rsidR="006312BA">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lastRenderedPageBreak/>
        <w:t>Лечение возобновляется на 36</w:t>
      </w:r>
      <w:r w:rsidR="006312BA">
        <w:rPr>
          <w:rFonts w:eastAsia="Times New Roman"/>
          <w:szCs w:val="24"/>
          <w:lang w:eastAsia="ru-RU"/>
        </w:rPr>
        <w:t>-й</w:t>
      </w:r>
      <w:r w:rsidRPr="00C37E76">
        <w:rPr>
          <w:rFonts w:eastAsia="Times New Roman"/>
          <w:szCs w:val="24"/>
          <w:lang w:eastAsia="ru-RU"/>
        </w:rPr>
        <w:t xml:space="preserve"> день</w:t>
      </w:r>
      <w:r w:rsidR="006312BA">
        <w:rPr>
          <w:rFonts w:eastAsia="Times New Roman"/>
          <w:szCs w:val="24"/>
          <w:lang w:eastAsia="ru-RU"/>
        </w:rPr>
        <w:t>.</w:t>
      </w:r>
    </w:p>
    <w:p w:rsidR="000546DA" w:rsidRPr="007E4984" w:rsidRDefault="000546DA" w:rsidP="00131E36">
      <w:pPr>
        <w:autoSpaceDE w:val="0"/>
        <w:autoSpaceDN w:val="0"/>
        <w:adjustRightInd w:val="0"/>
        <w:spacing w:before="0" w:after="0"/>
        <w:contextualSpacing/>
        <w:rPr>
          <w:szCs w:val="24"/>
          <w:lang w:eastAsia="ru-RU"/>
        </w:rPr>
      </w:pPr>
      <w:r w:rsidRPr="00C37E76">
        <w:rPr>
          <w:b/>
          <w:szCs w:val="24"/>
          <w:lang w:val="en-US" w:eastAsia="ru-RU"/>
        </w:rPr>
        <w:t>Dara</w:t>
      </w:r>
      <w:r w:rsidRPr="007E4984">
        <w:rPr>
          <w:b/>
          <w:szCs w:val="24"/>
          <w:lang w:eastAsia="ru-RU"/>
        </w:rPr>
        <w:t>-</w:t>
      </w:r>
      <w:r w:rsidRPr="00C37E76">
        <w:rPr>
          <w:b/>
          <w:szCs w:val="24"/>
          <w:lang w:val="en-US" w:eastAsia="ru-RU"/>
        </w:rPr>
        <w:t>VMP</w:t>
      </w:r>
    </w:p>
    <w:p w:rsidR="000546DA" w:rsidRPr="00C37E76" w:rsidRDefault="000546DA" w:rsidP="002F2D5C">
      <w:pPr>
        <w:pStyle w:val="a5"/>
        <w:numPr>
          <w:ilvl w:val="0"/>
          <w:numId w:val="18"/>
        </w:numPr>
        <w:autoSpaceDE w:val="0"/>
        <w:autoSpaceDN w:val="0"/>
        <w:adjustRightInd w:val="0"/>
        <w:spacing w:before="0" w:after="0"/>
        <w:rPr>
          <w:szCs w:val="24"/>
          <w:lang w:eastAsia="ru-RU"/>
        </w:rPr>
      </w:pPr>
      <w:r w:rsidRPr="00C37E76">
        <w:rPr>
          <w:szCs w:val="24"/>
          <w:lang w:eastAsia="ru-RU"/>
        </w:rPr>
        <w:t>Даратумумаб</w:t>
      </w:r>
      <w:r>
        <w:rPr>
          <w:rFonts w:eastAsia="Times New Roman"/>
          <w:szCs w:val="24"/>
          <w:lang w:eastAsia="ru-RU"/>
        </w:rPr>
        <w:t>**</w:t>
      </w:r>
      <w:r w:rsidRPr="00C37E76">
        <w:rPr>
          <w:szCs w:val="24"/>
          <w:lang w:eastAsia="ru-RU"/>
        </w:rPr>
        <w:tab/>
        <w:t xml:space="preserve">16 мг/кг в/в </w:t>
      </w:r>
    </w:p>
    <w:p w:rsidR="000546DA" w:rsidRPr="00C37E76" w:rsidRDefault="000546DA" w:rsidP="002F2D5C">
      <w:pPr>
        <w:pStyle w:val="a5"/>
        <w:numPr>
          <w:ilvl w:val="1"/>
          <w:numId w:val="18"/>
        </w:numPr>
        <w:autoSpaceDE w:val="0"/>
        <w:autoSpaceDN w:val="0"/>
        <w:adjustRightInd w:val="0"/>
        <w:spacing w:before="0" w:after="0"/>
        <w:rPr>
          <w:szCs w:val="24"/>
          <w:lang w:eastAsia="ru-RU"/>
        </w:rPr>
      </w:pPr>
      <w:r w:rsidRPr="00C37E76">
        <w:rPr>
          <w:szCs w:val="24"/>
          <w:lang w:eastAsia="ru-RU"/>
        </w:rPr>
        <w:t>1 раз в неделю в 1</w:t>
      </w:r>
      <w:r w:rsidR="006312BA">
        <w:rPr>
          <w:szCs w:val="24"/>
          <w:lang w:eastAsia="ru-RU"/>
        </w:rPr>
        <w:t>‒</w:t>
      </w:r>
      <w:r w:rsidRPr="00C37E76">
        <w:rPr>
          <w:szCs w:val="24"/>
          <w:lang w:eastAsia="ru-RU"/>
        </w:rPr>
        <w:t>6</w:t>
      </w:r>
      <w:r w:rsidR="006312BA">
        <w:rPr>
          <w:szCs w:val="24"/>
          <w:lang w:eastAsia="ru-RU"/>
        </w:rPr>
        <w:t>-ю</w:t>
      </w:r>
      <w:r w:rsidRPr="00C37E76">
        <w:rPr>
          <w:szCs w:val="24"/>
          <w:lang w:eastAsia="ru-RU"/>
        </w:rPr>
        <w:t xml:space="preserve"> недели (всего 6 доз)</w:t>
      </w:r>
    </w:p>
    <w:p w:rsidR="000546DA" w:rsidRPr="00C37E76" w:rsidRDefault="000546DA" w:rsidP="002F2D5C">
      <w:pPr>
        <w:pStyle w:val="a5"/>
        <w:numPr>
          <w:ilvl w:val="1"/>
          <w:numId w:val="18"/>
        </w:numPr>
        <w:autoSpaceDE w:val="0"/>
        <w:autoSpaceDN w:val="0"/>
        <w:adjustRightInd w:val="0"/>
        <w:spacing w:before="0" w:after="0"/>
        <w:rPr>
          <w:szCs w:val="24"/>
          <w:lang w:eastAsia="ru-RU"/>
        </w:rPr>
      </w:pPr>
      <w:r w:rsidRPr="00C37E76">
        <w:rPr>
          <w:szCs w:val="24"/>
          <w:lang w:eastAsia="ru-RU"/>
        </w:rPr>
        <w:t>1 раз в 3 недели в 7</w:t>
      </w:r>
      <w:r w:rsidR="006312BA">
        <w:rPr>
          <w:szCs w:val="24"/>
          <w:lang w:eastAsia="ru-RU"/>
        </w:rPr>
        <w:t>‒</w:t>
      </w:r>
      <w:r w:rsidRPr="00C37E76">
        <w:rPr>
          <w:szCs w:val="24"/>
          <w:lang w:eastAsia="ru-RU"/>
        </w:rPr>
        <w:t>54</w:t>
      </w:r>
      <w:r w:rsidR="006312BA">
        <w:rPr>
          <w:szCs w:val="24"/>
          <w:lang w:eastAsia="ru-RU"/>
        </w:rPr>
        <w:t>-ю</w:t>
      </w:r>
      <w:r w:rsidRPr="00C37E76">
        <w:rPr>
          <w:szCs w:val="24"/>
          <w:lang w:eastAsia="ru-RU"/>
        </w:rPr>
        <w:t xml:space="preserve"> недели (всего 16 доз)   </w:t>
      </w:r>
    </w:p>
    <w:p w:rsidR="000546DA" w:rsidRPr="00C37E76" w:rsidRDefault="000546DA" w:rsidP="002F2D5C">
      <w:pPr>
        <w:pStyle w:val="a5"/>
        <w:numPr>
          <w:ilvl w:val="1"/>
          <w:numId w:val="18"/>
        </w:numPr>
        <w:autoSpaceDE w:val="0"/>
        <w:autoSpaceDN w:val="0"/>
        <w:adjustRightInd w:val="0"/>
        <w:spacing w:before="0" w:after="0"/>
        <w:rPr>
          <w:szCs w:val="24"/>
          <w:lang w:eastAsia="ru-RU"/>
        </w:rPr>
      </w:pPr>
      <w:r w:rsidRPr="00C37E76">
        <w:rPr>
          <w:szCs w:val="24"/>
          <w:lang w:eastAsia="ru-RU"/>
        </w:rPr>
        <w:t>1 раз в 4 недели с 55</w:t>
      </w:r>
      <w:r w:rsidR="006312BA">
        <w:rPr>
          <w:szCs w:val="24"/>
          <w:lang w:eastAsia="ru-RU"/>
        </w:rPr>
        <w:t>-й</w:t>
      </w:r>
      <w:r w:rsidRPr="00C37E76">
        <w:rPr>
          <w:szCs w:val="24"/>
          <w:lang w:eastAsia="ru-RU"/>
        </w:rPr>
        <w:t xml:space="preserve"> недели до прогрессии</w:t>
      </w:r>
    </w:p>
    <w:p w:rsidR="000546DA" w:rsidRPr="00C37E76" w:rsidRDefault="000546DA" w:rsidP="002F2D5C">
      <w:pPr>
        <w:pStyle w:val="a5"/>
        <w:numPr>
          <w:ilvl w:val="0"/>
          <w:numId w:val="18"/>
        </w:numPr>
        <w:autoSpaceDE w:val="0"/>
        <w:autoSpaceDN w:val="0"/>
        <w:adjustRightInd w:val="0"/>
        <w:spacing w:before="0" w:after="0"/>
        <w:rPr>
          <w:szCs w:val="24"/>
          <w:lang w:eastAsia="ru-RU"/>
        </w:rPr>
      </w:pPr>
      <w:r w:rsidRPr="00C37E76">
        <w:rPr>
          <w:szCs w:val="24"/>
          <w:lang w:eastAsia="ru-RU"/>
        </w:rPr>
        <w:t>Бортезомиб</w:t>
      </w:r>
      <w:r>
        <w:rPr>
          <w:rFonts w:eastAsia="Times New Roman"/>
          <w:szCs w:val="24"/>
          <w:lang w:eastAsia="ru-RU"/>
        </w:rPr>
        <w:t>**</w:t>
      </w:r>
      <w:r w:rsidRPr="00C37E76">
        <w:rPr>
          <w:szCs w:val="24"/>
          <w:lang w:eastAsia="ru-RU"/>
        </w:rPr>
        <w:t xml:space="preserve"> 1,3 мг/м</w:t>
      </w:r>
      <w:r w:rsidRPr="00C37E76">
        <w:rPr>
          <w:szCs w:val="24"/>
          <w:vertAlign w:val="superscript"/>
          <w:lang w:eastAsia="ru-RU"/>
        </w:rPr>
        <w:t>2</w:t>
      </w:r>
      <w:r w:rsidRPr="00C37E76">
        <w:rPr>
          <w:szCs w:val="24"/>
          <w:lang w:eastAsia="ru-RU"/>
        </w:rPr>
        <w:t xml:space="preserve"> п/к </w:t>
      </w:r>
    </w:p>
    <w:p w:rsidR="000546DA" w:rsidRPr="00C37E76" w:rsidRDefault="000546DA" w:rsidP="002F2D5C">
      <w:pPr>
        <w:pStyle w:val="a5"/>
        <w:numPr>
          <w:ilvl w:val="1"/>
          <w:numId w:val="18"/>
        </w:numPr>
        <w:autoSpaceDE w:val="0"/>
        <w:autoSpaceDN w:val="0"/>
        <w:adjustRightInd w:val="0"/>
        <w:spacing w:before="0" w:after="0"/>
        <w:rPr>
          <w:szCs w:val="24"/>
          <w:lang w:eastAsia="ru-RU"/>
        </w:rPr>
      </w:pPr>
      <w:r w:rsidRPr="00C37E76">
        <w:rPr>
          <w:szCs w:val="24"/>
          <w:lang w:eastAsia="ru-RU"/>
        </w:rPr>
        <w:t>2 раза в неделю на 1, 2</w:t>
      </w:r>
      <w:r w:rsidR="006312BA">
        <w:rPr>
          <w:szCs w:val="24"/>
          <w:lang w:eastAsia="ru-RU"/>
        </w:rPr>
        <w:t>,</w:t>
      </w:r>
      <w:r w:rsidRPr="00C37E76">
        <w:rPr>
          <w:szCs w:val="24"/>
          <w:lang w:eastAsia="ru-RU"/>
        </w:rPr>
        <w:t xml:space="preserve"> 4 и 5</w:t>
      </w:r>
      <w:r w:rsidR="006312BA">
        <w:rPr>
          <w:szCs w:val="24"/>
          <w:lang w:eastAsia="ru-RU"/>
        </w:rPr>
        <w:t>-й</w:t>
      </w:r>
      <w:r w:rsidRPr="00C37E76">
        <w:rPr>
          <w:szCs w:val="24"/>
          <w:lang w:eastAsia="ru-RU"/>
        </w:rPr>
        <w:t xml:space="preserve"> неделях первого шестинедельного цикла (цикл 1, 8 доз) </w:t>
      </w:r>
    </w:p>
    <w:p w:rsidR="000546DA" w:rsidRPr="00C37E76" w:rsidRDefault="000546DA" w:rsidP="002F2D5C">
      <w:pPr>
        <w:pStyle w:val="a5"/>
        <w:numPr>
          <w:ilvl w:val="1"/>
          <w:numId w:val="18"/>
        </w:numPr>
        <w:autoSpaceDE w:val="0"/>
        <w:autoSpaceDN w:val="0"/>
        <w:adjustRightInd w:val="0"/>
        <w:spacing w:before="0" w:after="0"/>
        <w:rPr>
          <w:szCs w:val="24"/>
          <w:lang w:eastAsia="ru-RU"/>
        </w:rPr>
      </w:pPr>
      <w:r w:rsidRPr="00C37E76">
        <w:rPr>
          <w:szCs w:val="24"/>
          <w:lang w:eastAsia="ru-RU"/>
        </w:rPr>
        <w:t>далее 1 раз в неделю на 1, 2, 4 и 5</w:t>
      </w:r>
      <w:r w:rsidR="006312BA">
        <w:rPr>
          <w:szCs w:val="24"/>
          <w:lang w:eastAsia="ru-RU"/>
        </w:rPr>
        <w:t>-й</w:t>
      </w:r>
      <w:r w:rsidRPr="00C37E76">
        <w:rPr>
          <w:szCs w:val="24"/>
          <w:lang w:eastAsia="ru-RU"/>
        </w:rPr>
        <w:t xml:space="preserve"> неделях следующих 8 шестинедельных циклов (циклы 2</w:t>
      </w:r>
      <w:r w:rsidR="006312BA">
        <w:rPr>
          <w:szCs w:val="24"/>
          <w:lang w:eastAsia="ru-RU"/>
        </w:rPr>
        <w:t>‒</w:t>
      </w:r>
      <w:r w:rsidRPr="00C37E76">
        <w:rPr>
          <w:szCs w:val="24"/>
          <w:lang w:eastAsia="ru-RU"/>
        </w:rPr>
        <w:t>9, 4 дозы на цикл)</w:t>
      </w:r>
    </w:p>
    <w:p w:rsidR="000546DA" w:rsidRPr="00C37E76" w:rsidRDefault="000546DA" w:rsidP="002F2D5C">
      <w:pPr>
        <w:pStyle w:val="a5"/>
        <w:numPr>
          <w:ilvl w:val="0"/>
          <w:numId w:val="18"/>
        </w:numPr>
        <w:autoSpaceDE w:val="0"/>
        <w:autoSpaceDN w:val="0"/>
        <w:adjustRightInd w:val="0"/>
        <w:spacing w:before="0" w:after="0"/>
        <w:rPr>
          <w:szCs w:val="24"/>
          <w:lang w:eastAsia="ru-RU"/>
        </w:rPr>
      </w:pPr>
      <w:r w:rsidRPr="00C37E76">
        <w:rPr>
          <w:szCs w:val="24"/>
          <w:lang w:eastAsia="ru-RU"/>
        </w:rPr>
        <w:t>Мелфалан</w:t>
      </w:r>
      <w:r>
        <w:rPr>
          <w:rFonts w:eastAsia="Times New Roman"/>
          <w:szCs w:val="24"/>
          <w:lang w:eastAsia="ru-RU"/>
        </w:rPr>
        <w:t>**</w:t>
      </w:r>
      <w:r w:rsidRPr="00C37E76">
        <w:rPr>
          <w:szCs w:val="24"/>
          <w:lang w:eastAsia="ru-RU"/>
        </w:rPr>
        <w:t xml:space="preserve"> 9 мг/м</w:t>
      </w:r>
      <w:r w:rsidRPr="00C37E76">
        <w:rPr>
          <w:szCs w:val="24"/>
          <w:vertAlign w:val="superscript"/>
          <w:lang w:eastAsia="ru-RU"/>
        </w:rPr>
        <w:t>2</w:t>
      </w:r>
      <w:r w:rsidRPr="00C37E76">
        <w:rPr>
          <w:szCs w:val="24"/>
          <w:lang w:eastAsia="ru-RU"/>
        </w:rPr>
        <w:t xml:space="preserve"> и преднизолон</w:t>
      </w:r>
      <w:r w:rsidR="009A138D">
        <w:rPr>
          <w:szCs w:val="24"/>
          <w:lang w:eastAsia="ru-RU"/>
        </w:rPr>
        <w:t>**</w:t>
      </w:r>
      <w:r w:rsidRPr="00C37E76">
        <w:rPr>
          <w:szCs w:val="24"/>
          <w:lang w:eastAsia="ru-RU"/>
        </w:rPr>
        <w:t xml:space="preserve"> 60 мг/м</w:t>
      </w:r>
      <w:r w:rsidRPr="00C37E76">
        <w:rPr>
          <w:szCs w:val="24"/>
          <w:vertAlign w:val="superscript"/>
          <w:lang w:eastAsia="ru-RU"/>
        </w:rPr>
        <w:t>2</w:t>
      </w:r>
      <w:r w:rsidRPr="00C37E76">
        <w:rPr>
          <w:szCs w:val="24"/>
          <w:lang w:eastAsia="ru-RU"/>
        </w:rPr>
        <w:t>энтерально в дни 1 и 4</w:t>
      </w:r>
      <w:r w:rsidR="006312BA">
        <w:rPr>
          <w:szCs w:val="24"/>
          <w:lang w:eastAsia="ru-RU"/>
        </w:rPr>
        <w:t>-й</w:t>
      </w:r>
      <w:r w:rsidRPr="00C37E76">
        <w:rPr>
          <w:szCs w:val="24"/>
          <w:lang w:eastAsia="ru-RU"/>
        </w:rPr>
        <w:t xml:space="preserve"> </w:t>
      </w:r>
      <w:r w:rsidR="006312BA">
        <w:rPr>
          <w:szCs w:val="24"/>
          <w:lang w:eastAsia="ru-RU"/>
        </w:rPr>
        <w:t>9</w:t>
      </w:r>
      <w:r w:rsidRPr="00C37E76">
        <w:rPr>
          <w:szCs w:val="24"/>
          <w:lang w:eastAsia="ru-RU"/>
        </w:rPr>
        <w:t xml:space="preserve"> шестинедельных циклов (циклы 1</w:t>
      </w:r>
      <w:r w:rsidR="006312BA">
        <w:rPr>
          <w:szCs w:val="24"/>
          <w:lang w:eastAsia="ru-RU"/>
        </w:rPr>
        <w:t>‒</w:t>
      </w:r>
      <w:r w:rsidRPr="00C37E76">
        <w:rPr>
          <w:szCs w:val="24"/>
          <w:lang w:eastAsia="ru-RU"/>
        </w:rPr>
        <w:t>9)</w:t>
      </w:r>
    </w:p>
    <w:p w:rsidR="000546DA" w:rsidRPr="00A863E9" w:rsidRDefault="000546DA" w:rsidP="00131E36">
      <w:pPr>
        <w:spacing w:before="0" w:after="0"/>
        <w:contextualSpacing/>
        <w:rPr>
          <w:rFonts w:eastAsia="Times New Roman"/>
          <w:b/>
          <w:szCs w:val="24"/>
          <w:lang w:eastAsia="ru-RU"/>
        </w:rPr>
      </w:pPr>
      <w:r w:rsidRPr="00A863E9">
        <w:rPr>
          <w:rFonts w:eastAsia="Times New Roman"/>
          <w:b/>
          <w:szCs w:val="24"/>
          <w:lang w:eastAsia="ru-RU"/>
        </w:rPr>
        <w:t>VD</w:t>
      </w:r>
    </w:p>
    <w:p w:rsidR="00BF55DF" w:rsidRPr="00D62DF3" w:rsidRDefault="00BF55DF" w:rsidP="00BF55DF">
      <w:pPr>
        <w:numPr>
          <w:ilvl w:val="0"/>
          <w:numId w:val="15"/>
        </w:numPr>
        <w:spacing w:before="0" w:after="0"/>
        <w:contextualSpacing/>
        <w:jc w:val="left"/>
        <w:rPr>
          <w:rFonts w:eastAsia="Times New Roman"/>
          <w:szCs w:val="24"/>
          <w:lang w:eastAsia="ru-RU"/>
        </w:rPr>
      </w:pPr>
      <w:r w:rsidRPr="00D62DF3">
        <w:rPr>
          <w:rFonts w:eastAsia="Times New Roman"/>
          <w:szCs w:val="24"/>
          <w:lang w:eastAsia="ru-RU"/>
        </w:rPr>
        <w:t>1‒4-й курсы:</w:t>
      </w:r>
    </w:p>
    <w:p w:rsidR="00BF55DF" w:rsidRPr="00D62DF3" w:rsidRDefault="00BF55DF" w:rsidP="00BF55DF">
      <w:pPr>
        <w:numPr>
          <w:ilvl w:val="1"/>
          <w:numId w:val="15"/>
        </w:numPr>
        <w:spacing w:before="0" w:after="0"/>
        <w:contextualSpacing/>
        <w:jc w:val="left"/>
        <w:rPr>
          <w:rFonts w:eastAsia="Times New Roman"/>
          <w:szCs w:val="24"/>
          <w:lang w:eastAsia="ru-RU"/>
        </w:rPr>
      </w:pPr>
      <w:r w:rsidRPr="00D62DF3">
        <w:rPr>
          <w:rFonts w:eastAsia="Times New Roman"/>
          <w:szCs w:val="24"/>
          <w:lang w:eastAsia="ru-RU"/>
        </w:rPr>
        <w:t>Бортезомиб** 1,3 мг/м</w:t>
      </w:r>
      <w:r w:rsidRPr="00D62DF3">
        <w:rPr>
          <w:rFonts w:eastAsia="Times New Roman"/>
          <w:szCs w:val="24"/>
          <w:vertAlign w:val="superscript"/>
          <w:lang w:eastAsia="ru-RU"/>
        </w:rPr>
        <w:t>2</w:t>
      </w:r>
      <w:r w:rsidRPr="00D62DF3">
        <w:rPr>
          <w:rFonts w:eastAsia="Times New Roman"/>
          <w:szCs w:val="24"/>
          <w:lang w:eastAsia="ru-RU"/>
        </w:rPr>
        <w:t xml:space="preserve"> п/к или в/в, дни 1, 4, 8, 11-й</w:t>
      </w:r>
    </w:p>
    <w:p w:rsidR="00BF55DF" w:rsidRPr="00D62DF3" w:rsidRDefault="00BF55DF" w:rsidP="00BF55DF">
      <w:pPr>
        <w:numPr>
          <w:ilvl w:val="1"/>
          <w:numId w:val="15"/>
        </w:numPr>
        <w:spacing w:before="0" w:after="0"/>
        <w:contextualSpacing/>
        <w:jc w:val="left"/>
        <w:rPr>
          <w:rFonts w:eastAsia="Times New Roman"/>
          <w:szCs w:val="24"/>
          <w:lang w:eastAsia="ru-RU"/>
        </w:rPr>
      </w:pPr>
      <w:r w:rsidRPr="00D62DF3">
        <w:rPr>
          <w:rFonts w:eastAsia="Times New Roman"/>
          <w:szCs w:val="24"/>
          <w:lang w:eastAsia="ru-RU"/>
        </w:rPr>
        <w:t xml:space="preserve">Дексаметазон** </w:t>
      </w:r>
      <w:r w:rsidR="00705691">
        <w:rPr>
          <w:rFonts w:eastAsia="Times New Roman"/>
          <w:szCs w:val="24"/>
          <w:lang w:eastAsia="ru-RU"/>
        </w:rPr>
        <w:t>4</w:t>
      </w:r>
      <w:r w:rsidR="00705691" w:rsidRPr="00D62DF3">
        <w:rPr>
          <w:rFonts w:eastAsia="Times New Roman"/>
          <w:szCs w:val="24"/>
          <w:lang w:eastAsia="ru-RU"/>
        </w:rPr>
        <w:t xml:space="preserve">0 </w:t>
      </w:r>
      <w:r w:rsidRPr="00D62DF3">
        <w:rPr>
          <w:rFonts w:eastAsia="Times New Roman"/>
          <w:szCs w:val="24"/>
          <w:lang w:eastAsia="ru-RU"/>
        </w:rPr>
        <w:t>мг внутрь, дни 1</w:t>
      </w:r>
      <w:r w:rsidR="00705691">
        <w:rPr>
          <w:rFonts w:eastAsia="Times New Roman"/>
          <w:szCs w:val="24"/>
          <w:lang w:eastAsia="ru-RU"/>
        </w:rPr>
        <w:t xml:space="preserve">-4 и 9-12 (циклы 1, 2) и дни 1-4 (циклы 3, 4) </w:t>
      </w:r>
      <w:r w:rsidRPr="00D62DF3">
        <w:rPr>
          <w:rFonts w:eastAsia="Times New Roman"/>
          <w:szCs w:val="24"/>
          <w:lang w:eastAsia="ru-RU"/>
        </w:rPr>
        <w:t xml:space="preserve"> </w:t>
      </w:r>
    </w:p>
    <w:p w:rsidR="00BF55DF" w:rsidRPr="00D62DF3" w:rsidRDefault="00BF55DF" w:rsidP="00BF55DF">
      <w:pPr>
        <w:spacing w:before="0" w:after="0"/>
        <w:contextualSpacing/>
        <w:rPr>
          <w:rFonts w:eastAsia="Times New Roman"/>
          <w:szCs w:val="24"/>
          <w:lang w:eastAsia="ru-RU"/>
        </w:rPr>
      </w:pPr>
      <w:r w:rsidRPr="00D62DF3">
        <w:rPr>
          <w:rFonts w:eastAsia="Times New Roman"/>
          <w:szCs w:val="24"/>
          <w:lang w:eastAsia="ru-RU"/>
        </w:rPr>
        <w:t>Лечение возобновляется на 22-й день.</w:t>
      </w:r>
    </w:p>
    <w:p w:rsidR="00BF55DF" w:rsidRPr="00D62DF3" w:rsidRDefault="00BF55DF" w:rsidP="00BF55DF">
      <w:pPr>
        <w:numPr>
          <w:ilvl w:val="0"/>
          <w:numId w:val="15"/>
        </w:numPr>
        <w:spacing w:before="0" w:after="0"/>
        <w:contextualSpacing/>
        <w:jc w:val="left"/>
        <w:rPr>
          <w:rFonts w:eastAsia="Times New Roman"/>
          <w:szCs w:val="24"/>
          <w:lang w:eastAsia="ru-RU"/>
        </w:rPr>
      </w:pPr>
      <w:r w:rsidRPr="00D62DF3">
        <w:rPr>
          <w:rFonts w:eastAsia="Times New Roman"/>
          <w:szCs w:val="24"/>
          <w:lang w:eastAsia="ru-RU"/>
        </w:rPr>
        <w:t>5‒8-й курсы:</w:t>
      </w:r>
    </w:p>
    <w:p w:rsidR="00BF55DF" w:rsidRPr="00D62DF3" w:rsidRDefault="00BF55DF" w:rsidP="00BF55DF">
      <w:pPr>
        <w:numPr>
          <w:ilvl w:val="1"/>
          <w:numId w:val="15"/>
        </w:numPr>
        <w:spacing w:before="0" w:after="0"/>
        <w:contextualSpacing/>
        <w:jc w:val="left"/>
        <w:rPr>
          <w:rFonts w:eastAsia="Times New Roman"/>
          <w:szCs w:val="24"/>
          <w:lang w:eastAsia="ru-RU"/>
        </w:rPr>
      </w:pPr>
      <w:r w:rsidRPr="00D62DF3">
        <w:rPr>
          <w:rFonts w:eastAsia="Times New Roman"/>
          <w:szCs w:val="24"/>
          <w:lang w:eastAsia="ru-RU"/>
        </w:rPr>
        <w:t>Бортезомиб** 1,3 мг/м</w:t>
      </w:r>
      <w:r w:rsidRPr="00D62DF3">
        <w:rPr>
          <w:rFonts w:eastAsia="Times New Roman"/>
          <w:szCs w:val="24"/>
          <w:vertAlign w:val="superscript"/>
          <w:lang w:eastAsia="ru-RU"/>
        </w:rPr>
        <w:t>2</w:t>
      </w:r>
      <w:r w:rsidRPr="00D62DF3">
        <w:rPr>
          <w:rFonts w:eastAsia="Times New Roman"/>
          <w:szCs w:val="24"/>
          <w:lang w:eastAsia="ru-RU"/>
        </w:rPr>
        <w:t xml:space="preserve"> п/к или в/в, дни 1, 4, 8, 11-й</w:t>
      </w:r>
    </w:p>
    <w:p w:rsidR="00BF55DF" w:rsidRPr="00D62DF3" w:rsidRDefault="00BF55DF" w:rsidP="00BF55DF">
      <w:pPr>
        <w:numPr>
          <w:ilvl w:val="1"/>
          <w:numId w:val="15"/>
        </w:numPr>
        <w:spacing w:before="0" w:after="0"/>
        <w:contextualSpacing/>
        <w:jc w:val="left"/>
        <w:rPr>
          <w:rFonts w:eastAsia="Times New Roman"/>
          <w:szCs w:val="24"/>
          <w:lang w:eastAsia="ru-RU"/>
        </w:rPr>
      </w:pPr>
      <w:r w:rsidRPr="00D62DF3">
        <w:rPr>
          <w:rFonts w:eastAsia="Times New Roman"/>
          <w:szCs w:val="24"/>
          <w:lang w:eastAsia="ru-RU"/>
        </w:rPr>
        <w:t xml:space="preserve">Дексаметазон** 20 мг внутрь, дни 1, 2, 4, 5-й </w:t>
      </w:r>
    </w:p>
    <w:p w:rsidR="00BF55DF" w:rsidRPr="00D62DF3" w:rsidRDefault="00BF55DF" w:rsidP="00BF55DF">
      <w:pPr>
        <w:spacing w:before="0" w:after="0"/>
        <w:contextualSpacing/>
        <w:rPr>
          <w:rFonts w:eastAsia="Times New Roman"/>
          <w:szCs w:val="24"/>
          <w:lang w:eastAsia="ru-RU"/>
        </w:rPr>
      </w:pPr>
      <w:r w:rsidRPr="00D62DF3">
        <w:rPr>
          <w:rFonts w:eastAsia="Times New Roman"/>
          <w:szCs w:val="24"/>
          <w:lang w:eastAsia="ru-RU"/>
        </w:rPr>
        <w:t>Лечение возобновляется на 22-й день.</w:t>
      </w:r>
    </w:p>
    <w:p w:rsidR="000546DA" w:rsidRPr="00A863E9" w:rsidRDefault="000546DA" w:rsidP="00131E36">
      <w:pPr>
        <w:spacing w:before="0" w:after="0"/>
        <w:contextualSpacing/>
        <w:rPr>
          <w:rFonts w:eastAsia="Times New Roman"/>
          <w:szCs w:val="24"/>
          <w:lang w:eastAsia="ru-RU"/>
        </w:rPr>
      </w:pPr>
      <w:r w:rsidRPr="00A863E9">
        <w:rPr>
          <w:rFonts w:eastAsia="Times New Roman"/>
          <w:b/>
          <w:szCs w:val="24"/>
          <w:lang w:eastAsia="ru-RU"/>
        </w:rPr>
        <w:t>VCP</w:t>
      </w:r>
      <w:r w:rsidRPr="00A863E9">
        <w:rPr>
          <w:rFonts w:eastAsia="Times New Roman"/>
          <w:szCs w:val="24"/>
          <w:lang w:eastAsia="ru-RU"/>
        </w:rPr>
        <w:t xml:space="preserve"> (для пациентов </w:t>
      </w:r>
      <w:r w:rsidR="006312BA" w:rsidRPr="00A863E9">
        <w:rPr>
          <w:rFonts w:eastAsia="Times New Roman"/>
          <w:szCs w:val="24"/>
          <w:lang w:eastAsia="ru-RU"/>
        </w:rPr>
        <w:t>с ММ</w:t>
      </w:r>
      <w:r w:rsidRPr="00A863E9">
        <w:rPr>
          <w:rFonts w:eastAsia="Times New Roman"/>
          <w:szCs w:val="24"/>
          <w:lang w:eastAsia="ru-RU"/>
        </w:rPr>
        <w:t xml:space="preserve"> старше 75 лет)</w:t>
      </w:r>
    </w:p>
    <w:p w:rsidR="000546DA" w:rsidRPr="00A863E9" w:rsidRDefault="000546DA" w:rsidP="002F2D5C">
      <w:pPr>
        <w:numPr>
          <w:ilvl w:val="0"/>
          <w:numId w:val="20"/>
        </w:numPr>
        <w:spacing w:before="0" w:after="0"/>
        <w:contextualSpacing/>
        <w:jc w:val="left"/>
        <w:rPr>
          <w:rFonts w:eastAsia="Times New Roman"/>
          <w:szCs w:val="24"/>
          <w:lang w:eastAsia="ru-RU"/>
        </w:rPr>
      </w:pPr>
      <w:r w:rsidRPr="00A863E9">
        <w:rPr>
          <w:rFonts w:eastAsia="Times New Roman"/>
          <w:szCs w:val="24"/>
          <w:lang w:eastAsia="ru-RU"/>
        </w:rPr>
        <w:t>Бортезомиб** 1,3 мг/м</w:t>
      </w:r>
      <w:r w:rsidRPr="00A863E9">
        <w:rPr>
          <w:rFonts w:eastAsia="Times New Roman"/>
          <w:szCs w:val="24"/>
          <w:vertAlign w:val="superscript"/>
          <w:lang w:eastAsia="ru-RU"/>
        </w:rPr>
        <w:t>2</w:t>
      </w:r>
      <w:r w:rsidRPr="00A863E9">
        <w:rPr>
          <w:rFonts w:eastAsia="Times New Roman"/>
          <w:szCs w:val="24"/>
          <w:lang w:eastAsia="ru-RU"/>
        </w:rPr>
        <w:t xml:space="preserve"> п/к или в/в, дни 1, 8, 15, 22</w:t>
      </w:r>
      <w:r w:rsidR="006312BA" w:rsidRPr="00A863E9">
        <w:rPr>
          <w:rFonts w:eastAsia="Times New Roman"/>
          <w:szCs w:val="24"/>
          <w:lang w:eastAsia="ru-RU"/>
        </w:rPr>
        <w:t>-й</w:t>
      </w:r>
    </w:p>
    <w:p w:rsidR="000546DA" w:rsidRPr="00C37E76" w:rsidRDefault="000546DA" w:rsidP="002F2D5C">
      <w:pPr>
        <w:numPr>
          <w:ilvl w:val="0"/>
          <w:numId w:val="20"/>
        </w:numPr>
        <w:spacing w:before="0" w:after="0"/>
        <w:contextualSpacing/>
        <w:jc w:val="left"/>
        <w:rPr>
          <w:rFonts w:eastAsia="Times New Roman"/>
          <w:szCs w:val="24"/>
          <w:lang w:eastAsia="ru-RU"/>
        </w:rPr>
      </w:pPr>
      <w:r w:rsidRPr="00C37E76">
        <w:rPr>
          <w:rFonts w:eastAsia="Times New Roman"/>
          <w:szCs w:val="24"/>
          <w:lang w:eastAsia="ru-RU"/>
        </w:rPr>
        <w:t>Преднизолон</w:t>
      </w:r>
      <w:r>
        <w:rPr>
          <w:rFonts w:eastAsia="Times New Roman"/>
          <w:szCs w:val="24"/>
          <w:lang w:eastAsia="ru-RU"/>
        </w:rPr>
        <w:t>**</w:t>
      </w:r>
      <w:r w:rsidRPr="00C37E76">
        <w:rPr>
          <w:rFonts w:eastAsia="Times New Roman"/>
          <w:szCs w:val="24"/>
          <w:lang w:eastAsia="ru-RU"/>
        </w:rPr>
        <w:t xml:space="preserve"> 30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rsidR="000546DA" w:rsidRPr="00C37E76" w:rsidRDefault="000546DA" w:rsidP="002F2D5C">
      <w:pPr>
        <w:numPr>
          <w:ilvl w:val="0"/>
          <w:numId w:val="20"/>
        </w:numPr>
        <w:spacing w:before="0" w:after="0"/>
        <w:contextualSpacing/>
        <w:jc w:val="left"/>
        <w:rPr>
          <w:rFonts w:eastAsia="Times New Roman"/>
          <w:szCs w:val="24"/>
          <w:lang w:eastAsia="ru-RU"/>
        </w:rPr>
      </w:pPr>
      <w:r w:rsidRPr="00C37E76">
        <w:rPr>
          <w:rFonts w:eastAsia="Times New Roman"/>
          <w:szCs w:val="24"/>
          <w:lang w:eastAsia="ru-RU"/>
        </w:rPr>
        <w:t>Циклофосфамид</w:t>
      </w:r>
      <w:r>
        <w:rPr>
          <w:rFonts w:eastAsia="Times New Roman"/>
          <w:szCs w:val="24"/>
          <w:lang w:eastAsia="ru-RU"/>
        </w:rPr>
        <w:t xml:space="preserve">** </w:t>
      </w:r>
      <w:r w:rsidRPr="00C37E76">
        <w:rPr>
          <w:rFonts w:eastAsia="Times New Roman"/>
          <w:szCs w:val="24"/>
          <w:lang w:eastAsia="ru-RU"/>
        </w:rPr>
        <w:t>50 мг внутрь, дни 1</w:t>
      </w:r>
      <w:r w:rsidR="006312BA">
        <w:rPr>
          <w:rFonts w:eastAsia="Times New Roman"/>
          <w:szCs w:val="24"/>
          <w:lang w:eastAsia="ru-RU"/>
        </w:rPr>
        <w:t>‒</w:t>
      </w:r>
      <w:r w:rsidRPr="00C37E76">
        <w:rPr>
          <w:rFonts w:eastAsia="Times New Roman"/>
          <w:szCs w:val="24"/>
          <w:lang w:eastAsia="ru-RU"/>
        </w:rPr>
        <w:t>21</w:t>
      </w:r>
      <w:r w:rsidR="006312BA">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36</w:t>
      </w:r>
      <w:r w:rsidR="006312BA">
        <w:rPr>
          <w:rFonts w:eastAsia="Times New Roman"/>
          <w:szCs w:val="24"/>
          <w:lang w:eastAsia="ru-RU"/>
        </w:rPr>
        <w:t>-й</w:t>
      </w:r>
      <w:r w:rsidRPr="00C37E76">
        <w:rPr>
          <w:rFonts w:eastAsia="Times New Roman"/>
          <w:szCs w:val="24"/>
          <w:lang w:eastAsia="ru-RU"/>
        </w:rPr>
        <w:t xml:space="preserve"> день</w:t>
      </w:r>
      <w:r w:rsidR="00E86459">
        <w:rPr>
          <w:rFonts w:eastAsia="Times New Roman"/>
          <w:szCs w:val="24"/>
          <w:lang w:eastAsia="ru-RU"/>
        </w:rPr>
        <w:t>.</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Проводят 8</w:t>
      </w:r>
      <w:r w:rsidR="006312BA">
        <w:rPr>
          <w:rFonts w:eastAsia="Times New Roman"/>
          <w:szCs w:val="24"/>
          <w:lang w:eastAsia="ru-RU"/>
        </w:rPr>
        <w:t>‒</w:t>
      </w:r>
      <w:r w:rsidRPr="00C37E76">
        <w:rPr>
          <w:rFonts w:eastAsia="Times New Roman"/>
          <w:szCs w:val="24"/>
          <w:lang w:eastAsia="ru-RU"/>
        </w:rPr>
        <w:t>9 курсов</w:t>
      </w:r>
    </w:p>
    <w:p w:rsidR="000546DA" w:rsidRPr="00F74B6B" w:rsidRDefault="000546DA" w:rsidP="00131E36">
      <w:pPr>
        <w:spacing w:before="0" w:after="0"/>
        <w:contextualSpacing/>
        <w:rPr>
          <w:rFonts w:eastAsia="Times New Roman"/>
          <w:b/>
          <w:szCs w:val="24"/>
        </w:rPr>
      </w:pPr>
      <w:r w:rsidRPr="00C37E76">
        <w:rPr>
          <w:rFonts w:eastAsia="Times New Roman"/>
          <w:b/>
          <w:szCs w:val="24"/>
        </w:rPr>
        <w:t>Rd</w:t>
      </w:r>
      <w:r w:rsidR="00F74B6B">
        <w:rPr>
          <w:rFonts w:eastAsia="Times New Roman"/>
          <w:b/>
          <w:szCs w:val="24"/>
        </w:rPr>
        <w:t xml:space="preserve"> </w:t>
      </w:r>
      <w:r w:rsidR="00F74B6B">
        <w:rPr>
          <w:rFonts w:eastAsia="Times New Roman"/>
          <w:b/>
          <w:szCs w:val="24"/>
        </w:rPr>
        <w:fldChar w:fldCharType="begin" w:fldLock="1"/>
      </w:r>
      <w:r w:rsidR="00626692">
        <w:rPr>
          <w:rFonts w:eastAsia="Times New Roman"/>
          <w:b/>
          <w:szCs w:val="24"/>
        </w:rPr>
        <w:instrText>ADDIN CSL_CITATION {"citationItems":[{"id":"ITEM-1","itemData":{"DOI":"10.1016/S1470-2045(09)70284-0","ISSN":"14702045","abstract":"Background: High-dose dexamethasone is a mainstay of therapy for multiple myeloma. We studied whether low-dose dexamethasone in combination with lenalidomide is non-inferior to and has lower toxicity than high-dose dexamethasone plus lenalidomide. Methods: Patients with untreated symptomatic myeloma were randomly assigned in this open-label non-inferiority trial to lenalidomide 25 mg on days 1-21 plus dexamethasone 40 mg on days 1-4, 9-12, and 17-20 of a 28-day cycle (high dose), or lenalidomide given on the same schedule with dexamethasone 40 mg on days 1, 8, 15, and 22 of a 28-day cycle (low dose). After four cycles, patients could discontinue therapy to pursue stem-cell transplantation or continue treatment until disease progression. The primary endpoint was response rate after four cycles assessed with European Group for Blood and Bone Marrow Transplant criteria. The non-inferiority margin was an absolute difference of 15% in response rate. Analysis was by modified intention to treat. This trial is registered with ClinicalTrials.gov, number NCT00098475. Findings: 445 patients were randomly assigned: 223 to high-dose and 222 to low-dose regimens. 169 (79%) of 214 patients receiving high-dose therapy and 142 (68%) of 205 patients on low-dose therapy had complete or partial response within four cycles (odds ratio 1·75, 80% CI 1·30-2·32; p=0·008). However, at the second interim analysis at 1 year, overall survival was 96% (95% CI 94-99) in the low-dose dexamethasone group compared with 87% (82-92) in the high-dose group (p=0·0002). As a result, the trial was stopped and patients on high-dose therapy were crossed over to low-dose therapy. 117 patients (52%) on the high-dose regimen had grade three or worse toxic effects in the first 4 months, compared with 76 (35%) of the 220 on the low-dose regimen for whom toxicity data were available (p=0·0001), 12 of 222 on high dose and one of 220 on low-dose dexamethasone died in the first 4 months (p=0·003). The three most common grade three or higher toxicities were deep-vein thrombosis, 57 (26%) of 223 versus 27 (12%) of 220 (p=0·0003); infections including pneumonia, 35 (16%) of 223 versus 20 (9%) of 220 (p=0·04), and fatigue 33 (15%) of 223 versus 20 (9%) of 220 (p=0·08), respectively. Interpretation: Lenalidomide plus low-dose dexamethasone is associated with better short-term overall survival and with lower toxicity than lenalidomide plus high-dose dexamethasone in patients with newly diagnosed myeloma. Fund…","author":[{"dropping-particle":"","family":"Rajkumar","given":"S. Vincent","non-dropping-particle":"","parse-names":false,"suffix":""},{"dropping-particle":"","family":"Jacobus","given":"Susanna","non-dropping-particle":"","parse-names":false,"suffix":""},{"dropping-particle":"","family":"Callander","given":"Natalie S.","non-dropping-particle":"","parse-names":false,"suffix":""},{"dropping-particle":"","family":"Fonseca","given":"Rafael","non-dropping-particle":"","parse-names":false,"suffix":""},{"dropping-particle":"","family":"Vesole","given":"David H.","non-dropping-particle":"","parse-names":false,"suffix":""},{"dropping-particle":"","family":"Williams","given":"Michael E.","non-dropping-particle":"","parse-names":false,"suffix":""},{"dropping-particle":"","family":"Abonour","given":"Rafat","non-dropping-particle":"","parse-names":false,"suffix":""},{"dropping-particle":"","family":"Siegel","given":"David S.","non-dropping-particle":"","parse-names":false,"suffix":""},{"dropping-particle":"","family":"Katz","given":"Michael","non-dropping-particle":"","parse-names":false,"suffix":""},{"dropping-particle":"","family":"Greipp","given":"Philip R.","non-dropping-particle":"","parse-names":false,"suffix":""}],"container-title":"The Lancet Oncology","id":"ITEM-1","issue":"1","issued":{"date-parts":[["2010"]]},"page":"29-37","publisher":"Lancet Publishing Group","title":"Lenalidomide plus high-dose dexamethasone versus lenalidomide plus low-dose dexamethasone as initial therapy for newly diagnosed multiple myeloma: an open-label randomised controlled trial","type":"article-journal","volume":"11"},"uris":["http://www.mendeley.com/documents/?uuid=f61bdf50-959d-3819-8498-c167642ffdfb"]}],"mendeley":{"formattedCitation":"[77]","plainTextFormattedCitation":"[77]","previouslyFormattedCitation":"[77]"},"properties":{"noteIndex":0},"schema":"https://github.com/citation-style-language/schema/raw/master/csl-citation.json"}</w:instrText>
      </w:r>
      <w:r w:rsidR="00F74B6B">
        <w:rPr>
          <w:rFonts w:eastAsia="Times New Roman"/>
          <w:b/>
          <w:szCs w:val="24"/>
        </w:rPr>
        <w:fldChar w:fldCharType="separate"/>
      </w:r>
      <w:r w:rsidR="00F74B6B" w:rsidRPr="00F74B6B">
        <w:rPr>
          <w:rFonts w:eastAsia="Times New Roman"/>
          <w:noProof/>
          <w:szCs w:val="24"/>
        </w:rPr>
        <w:t>[77]</w:t>
      </w:r>
      <w:r w:rsidR="00F74B6B">
        <w:rPr>
          <w:rFonts w:eastAsia="Times New Roman"/>
          <w:b/>
          <w:szCs w:val="24"/>
        </w:rPr>
        <w:fldChar w:fldCharType="end"/>
      </w:r>
    </w:p>
    <w:p w:rsidR="00BF55DF" w:rsidRPr="00D62DF3" w:rsidRDefault="00BF55DF" w:rsidP="00BF55DF">
      <w:pPr>
        <w:pStyle w:val="3"/>
        <w:numPr>
          <w:ilvl w:val="0"/>
          <w:numId w:val="21"/>
        </w:numPr>
        <w:tabs>
          <w:tab w:val="left" w:pos="720"/>
        </w:tabs>
        <w:suppressAutoHyphens/>
        <w:spacing w:line="360" w:lineRule="auto"/>
        <w:contextualSpacing/>
        <w:jc w:val="left"/>
        <w:rPr>
          <w:rFonts w:eastAsia="Times New Roman"/>
        </w:rPr>
      </w:pPr>
      <w:r w:rsidRPr="00D62DF3">
        <w:rPr>
          <w:rFonts w:eastAsia="Times New Roman"/>
        </w:rPr>
        <w:t>Леналидомид** 25 мг внутрь, дни 1‒21-й</w:t>
      </w:r>
    </w:p>
    <w:p w:rsidR="00BF55DF" w:rsidRPr="00D62DF3" w:rsidRDefault="00BF55DF" w:rsidP="00BF55DF">
      <w:pPr>
        <w:pStyle w:val="3"/>
        <w:numPr>
          <w:ilvl w:val="0"/>
          <w:numId w:val="21"/>
        </w:numPr>
        <w:tabs>
          <w:tab w:val="left" w:pos="720"/>
        </w:tabs>
        <w:suppressAutoHyphens/>
        <w:spacing w:line="360" w:lineRule="auto"/>
        <w:contextualSpacing/>
        <w:jc w:val="left"/>
        <w:rPr>
          <w:rFonts w:eastAsia="Times New Roman"/>
        </w:rPr>
      </w:pPr>
      <w:r w:rsidRPr="00D62DF3">
        <w:rPr>
          <w:rFonts w:eastAsia="Times New Roman"/>
        </w:rPr>
        <w:t>Дексаметазон** 40 мг внутрь, дни 1, 8, 15, 22-й</w:t>
      </w:r>
    </w:p>
    <w:p w:rsidR="00BF55DF" w:rsidRPr="00D62DF3" w:rsidRDefault="00BF55DF" w:rsidP="00BF55DF">
      <w:pPr>
        <w:spacing w:before="0" w:after="0"/>
        <w:contextualSpacing/>
        <w:rPr>
          <w:rFonts w:eastAsia="Times New Roman"/>
          <w:szCs w:val="24"/>
        </w:rPr>
      </w:pPr>
      <w:r w:rsidRPr="00D62DF3">
        <w:rPr>
          <w:rFonts w:eastAsia="Times New Roman"/>
          <w:szCs w:val="24"/>
        </w:rPr>
        <w:t>Лечение возобновляется на 29-й день.</w:t>
      </w:r>
    </w:p>
    <w:p w:rsidR="00BF55DF" w:rsidRPr="00D62DF3" w:rsidRDefault="00BF55DF" w:rsidP="00BF55DF">
      <w:pPr>
        <w:spacing w:before="0" w:after="0"/>
        <w:contextualSpacing/>
        <w:rPr>
          <w:rFonts w:eastAsia="Times New Roman"/>
          <w:szCs w:val="24"/>
        </w:rPr>
      </w:pPr>
      <w:r w:rsidRPr="00D62DF3">
        <w:rPr>
          <w:rFonts w:eastAsia="Times New Roman"/>
          <w:szCs w:val="24"/>
        </w:rPr>
        <w:t>Лечение продолжают до прогрессирования или развития неприемлемой токсичности.</w:t>
      </w:r>
    </w:p>
    <w:p w:rsidR="00BF55DF" w:rsidRPr="00A863E9" w:rsidRDefault="00BF55DF" w:rsidP="00BF55DF">
      <w:pPr>
        <w:spacing w:before="0" w:after="0"/>
        <w:contextualSpacing/>
        <w:rPr>
          <w:rFonts w:eastAsia="Times New Roman"/>
          <w:b/>
          <w:szCs w:val="24"/>
          <w:lang w:eastAsia="ru-RU"/>
        </w:rPr>
      </w:pPr>
      <w:r w:rsidRPr="00D62DF3">
        <w:rPr>
          <w:rFonts w:eastAsia="Times New Roman"/>
          <w:b/>
          <w:szCs w:val="24"/>
          <w:lang w:eastAsia="ru-RU"/>
        </w:rPr>
        <w:lastRenderedPageBreak/>
        <w:t>MP</w:t>
      </w:r>
      <w:r w:rsidRPr="00D62DF3">
        <w:rPr>
          <w:rFonts w:eastAsia="Times New Roman"/>
          <w:b/>
          <w:szCs w:val="24"/>
          <w:lang w:val="en-US" w:eastAsia="ru-RU"/>
        </w:rPr>
        <w:t>R</w:t>
      </w:r>
    </w:p>
    <w:p w:rsidR="00BF55DF" w:rsidRPr="00D62DF3" w:rsidRDefault="00BF55DF" w:rsidP="00BF55DF">
      <w:pPr>
        <w:pStyle w:val="a5"/>
        <w:numPr>
          <w:ilvl w:val="0"/>
          <w:numId w:val="22"/>
        </w:numPr>
        <w:spacing w:before="0" w:after="0"/>
        <w:jc w:val="left"/>
        <w:rPr>
          <w:rFonts w:eastAsia="Times New Roman"/>
          <w:szCs w:val="24"/>
          <w:lang w:eastAsia="ru-RU"/>
        </w:rPr>
      </w:pPr>
      <w:r w:rsidRPr="00D62DF3">
        <w:rPr>
          <w:rFonts w:eastAsia="Times New Roman"/>
          <w:szCs w:val="24"/>
          <w:lang w:eastAsia="ru-RU"/>
        </w:rPr>
        <w:t>Мелфалан** 0,18 мг/кг внутрь, дни 1‒4-й</w:t>
      </w:r>
    </w:p>
    <w:p w:rsidR="00BF55DF" w:rsidRPr="00D62DF3" w:rsidRDefault="00BF55DF" w:rsidP="00BF55DF">
      <w:pPr>
        <w:pStyle w:val="a5"/>
        <w:numPr>
          <w:ilvl w:val="0"/>
          <w:numId w:val="22"/>
        </w:numPr>
        <w:spacing w:before="0" w:after="0"/>
        <w:jc w:val="left"/>
        <w:rPr>
          <w:rFonts w:eastAsia="Times New Roman"/>
          <w:szCs w:val="24"/>
          <w:lang w:eastAsia="ru-RU"/>
        </w:rPr>
      </w:pPr>
      <w:r w:rsidRPr="00D62DF3">
        <w:rPr>
          <w:rFonts w:eastAsia="Times New Roman"/>
          <w:szCs w:val="24"/>
          <w:lang w:eastAsia="ru-RU"/>
        </w:rPr>
        <w:t>Преднизолон** 2 мг/кг внутрь, дни 1‒4-й</w:t>
      </w:r>
    </w:p>
    <w:p w:rsidR="00BF55DF" w:rsidRPr="00D62DF3" w:rsidRDefault="00BF55DF" w:rsidP="00BF55DF">
      <w:pPr>
        <w:pStyle w:val="a5"/>
        <w:numPr>
          <w:ilvl w:val="0"/>
          <w:numId w:val="22"/>
        </w:numPr>
        <w:spacing w:before="0" w:after="0"/>
        <w:jc w:val="left"/>
        <w:rPr>
          <w:rFonts w:eastAsia="Times New Roman"/>
          <w:szCs w:val="24"/>
          <w:lang w:eastAsia="ru-RU"/>
        </w:rPr>
      </w:pPr>
      <w:r w:rsidRPr="00D62DF3">
        <w:rPr>
          <w:rFonts w:eastAsia="Times New Roman"/>
          <w:szCs w:val="24"/>
          <w:lang w:eastAsia="ru-RU"/>
        </w:rPr>
        <w:t>Леналидомид** 10 мг внутрь, дни 1‒21-й</w:t>
      </w:r>
    </w:p>
    <w:p w:rsidR="00BF55DF" w:rsidRPr="00D62DF3" w:rsidRDefault="00BF55DF" w:rsidP="00BF55DF">
      <w:pPr>
        <w:spacing w:before="0" w:after="0"/>
        <w:contextualSpacing/>
        <w:rPr>
          <w:rFonts w:eastAsia="Times New Roman"/>
          <w:szCs w:val="24"/>
          <w:lang w:eastAsia="ru-RU"/>
        </w:rPr>
      </w:pPr>
      <w:r w:rsidRPr="00D62DF3">
        <w:rPr>
          <w:rFonts w:eastAsia="Times New Roman"/>
          <w:szCs w:val="24"/>
          <w:lang w:eastAsia="ru-RU"/>
        </w:rPr>
        <w:t>Лечение возобновляется на 29-й день.</w:t>
      </w:r>
    </w:p>
    <w:p w:rsidR="00BF55DF" w:rsidRPr="00A863E9" w:rsidRDefault="00BF55DF" w:rsidP="00BF55DF">
      <w:pPr>
        <w:spacing w:before="0" w:after="0"/>
        <w:contextualSpacing/>
        <w:rPr>
          <w:rFonts w:eastAsia="Times New Roman"/>
          <w:szCs w:val="24"/>
          <w:lang w:eastAsia="ru-RU"/>
        </w:rPr>
      </w:pPr>
      <w:r w:rsidRPr="00D62DF3">
        <w:rPr>
          <w:rFonts w:eastAsia="Times New Roman"/>
          <w:szCs w:val="24"/>
          <w:lang w:eastAsia="ru-RU"/>
        </w:rPr>
        <w:t>После 9 курсов продолжается терапия леналидомидом в монорежиме в дозе 10 мг/сут с 1-го по 21-й дни 28-дневного цикла.</w:t>
      </w:r>
    </w:p>
    <w:p w:rsidR="000546DA" w:rsidRPr="00C37E76" w:rsidRDefault="000546DA" w:rsidP="00131E36">
      <w:pPr>
        <w:spacing w:before="0" w:after="0"/>
        <w:contextualSpacing/>
        <w:rPr>
          <w:rFonts w:eastAsia="Times New Roman"/>
          <w:b/>
          <w:szCs w:val="24"/>
          <w:lang w:eastAsia="ru-RU"/>
        </w:rPr>
      </w:pPr>
      <w:r w:rsidRPr="00A863E9">
        <w:rPr>
          <w:rFonts w:eastAsia="Times New Roman"/>
          <w:b/>
          <w:szCs w:val="24"/>
          <w:lang w:eastAsia="ru-RU"/>
        </w:rPr>
        <w:t>MP (7-дневная)</w:t>
      </w:r>
    </w:p>
    <w:p w:rsidR="000546DA" w:rsidRPr="00C37E76" w:rsidRDefault="000546DA" w:rsidP="002F2D5C">
      <w:pPr>
        <w:numPr>
          <w:ilvl w:val="0"/>
          <w:numId w:val="23"/>
        </w:numPr>
        <w:spacing w:before="0" w:after="0"/>
        <w:contextualSpacing/>
        <w:jc w:val="left"/>
        <w:rPr>
          <w:rFonts w:eastAsia="Times New Roman"/>
          <w:szCs w:val="24"/>
          <w:lang w:eastAsia="ru-RU"/>
        </w:rPr>
      </w:pPr>
      <w:r w:rsidRPr="00C37E76">
        <w:rPr>
          <w:rFonts w:eastAsia="Times New Roman"/>
          <w:szCs w:val="24"/>
          <w:lang w:eastAsia="ru-RU"/>
        </w:rPr>
        <w:t>Мелфалан</w:t>
      </w:r>
      <w:r>
        <w:rPr>
          <w:rFonts w:eastAsia="Times New Roman"/>
          <w:szCs w:val="24"/>
          <w:lang w:eastAsia="ru-RU"/>
        </w:rPr>
        <w:t>**</w:t>
      </w:r>
      <w:r w:rsidRPr="00C37E76">
        <w:rPr>
          <w:rFonts w:eastAsia="Times New Roman"/>
          <w:szCs w:val="24"/>
          <w:lang w:eastAsia="ru-RU"/>
        </w:rPr>
        <w:t xml:space="preserve"> 8</w:t>
      </w:r>
      <w:r w:rsidR="006312BA">
        <w:rPr>
          <w:rFonts w:eastAsia="Times New Roman"/>
          <w:szCs w:val="24"/>
          <w:lang w:eastAsia="ru-RU"/>
        </w:rPr>
        <w:t>‒</w:t>
      </w:r>
      <w:r w:rsidRPr="00C37E76">
        <w:rPr>
          <w:rFonts w:eastAsia="Times New Roman"/>
          <w:szCs w:val="24"/>
          <w:lang w:eastAsia="ru-RU"/>
        </w:rPr>
        <w:t>10 мг внутрь, дни 1</w:t>
      </w:r>
      <w:r w:rsidR="006312BA">
        <w:rPr>
          <w:rFonts w:eastAsia="Times New Roman"/>
          <w:szCs w:val="24"/>
          <w:lang w:eastAsia="ru-RU"/>
        </w:rPr>
        <w:t>‒</w:t>
      </w:r>
      <w:r w:rsidRPr="00C37E76">
        <w:rPr>
          <w:rFonts w:eastAsia="Times New Roman"/>
          <w:szCs w:val="24"/>
          <w:lang w:eastAsia="ru-RU"/>
        </w:rPr>
        <w:t>7</w:t>
      </w:r>
      <w:r w:rsidR="006312BA">
        <w:rPr>
          <w:rFonts w:eastAsia="Times New Roman"/>
          <w:szCs w:val="24"/>
          <w:lang w:eastAsia="ru-RU"/>
        </w:rPr>
        <w:t>-й</w:t>
      </w:r>
    </w:p>
    <w:p w:rsidR="000546DA" w:rsidRPr="00C37E76" w:rsidRDefault="000546DA" w:rsidP="002F2D5C">
      <w:pPr>
        <w:numPr>
          <w:ilvl w:val="0"/>
          <w:numId w:val="23"/>
        </w:numPr>
        <w:spacing w:before="0" w:after="0"/>
        <w:contextualSpacing/>
        <w:jc w:val="left"/>
        <w:rPr>
          <w:rFonts w:eastAsia="Times New Roman"/>
          <w:szCs w:val="24"/>
          <w:lang w:eastAsia="ru-RU"/>
        </w:rPr>
      </w:pPr>
      <w:r w:rsidRPr="00C37E76">
        <w:rPr>
          <w:rFonts w:eastAsia="Times New Roman"/>
          <w:szCs w:val="24"/>
          <w:lang w:eastAsia="ru-RU"/>
        </w:rPr>
        <w:t>Преднизолон</w:t>
      </w:r>
      <w:r>
        <w:rPr>
          <w:rFonts w:eastAsia="Times New Roman"/>
          <w:szCs w:val="24"/>
          <w:lang w:eastAsia="ru-RU"/>
        </w:rPr>
        <w:t>**</w:t>
      </w:r>
      <w:r w:rsidRPr="00C37E76">
        <w:rPr>
          <w:rFonts w:eastAsia="Times New Roman"/>
          <w:szCs w:val="24"/>
          <w:lang w:eastAsia="ru-RU"/>
        </w:rPr>
        <w:t xml:space="preserve"> 60 мг внутрь, дни 1</w:t>
      </w:r>
      <w:r w:rsidR="006312BA">
        <w:rPr>
          <w:rFonts w:eastAsia="Times New Roman"/>
          <w:szCs w:val="24"/>
          <w:lang w:eastAsia="ru-RU"/>
        </w:rPr>
        <w:t>‒</w:t>
      </w:r>
      <w:r w:rsidRPr="00C37E76">
        <w:rPr>
          <w:rFonts w:eastAsia="Times New Roman"/>
          <w:szCs w:val="24"/>
          <w:lang w:eastAsia="ru-RU"/>
        </w:rPr>
        <w:t>7</w:t>
      </w:r>
      <w:r w:rsidR="006312BA">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43</w:t>
      </w:r>
      <w:r w:rsidR="006312BA">
        <w:rPr>
          <w:rFonts w:eastAsia="Times New Roman"/>
          <w:szCs w:val="24"/>
          <w:lang w:eastAsia="ru-RU"/>
        </w:rPr>
        <w:t>-й</w:t>
      </w:r>
      <w:r w:rsidRPr="00C37E76">
        <w:rPr>
          <w:rFonts w:eastAsia="Times New Roman"/>
          <w:szCs w:val="24"/>
          <w:lang w:eastAsia="ru-RU"/>
        </w:rPr>
        <w:t xml:space="preserve"> день</w:t>
      </w:r>
      <w:r w:rsidR="00E86459">
        <w:rPr>
          <w:rFonts w:eastAsia="Times New Roman"/>
          <w:szCs w:val="24"/>
          <w:lang w:eastAsia="ru-RU"/>
        </w:rPr>
        <w:t>.</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Проводят до достижения фазы плато</w:t>
      </w:r>
      <w:r w:rsidR="00E86459">
        <w:rPr>
          <w:rFonts w:eastAsia="Times New Roman"/>
          <w:szCs w:val="24"/>
          <w:lang w:eastAsia="ru-RU"/>
        </w:rPr>
        <w:t>.</w:t>
      </w:r>
    </w:p>
    <w:p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MP (4-дневная)</w:t>
      </w:r>
    </w:p>
    <w:p w:rsidR="000546DA" w:rsidRPr="00C37E76" w:rsidRDefault="000546DA" w:rsidP="002F2D5C">
      <w:pPr>
        <w:pStyle w:val="a5"/>
        <w:numPr>
          <w:ilvl w:val="0"/>
          <w:numId w:val="24"/>
        </w:numPr>
        <w:spacing w:before="0" w:after="0"/>
        <w:jc w:val="left"/>
        <w:rPr>
          <w:rFonts w:eastAsia="Times New Roman"/>
          <w:szCs w:val="24"/>
          <w:lang w:eastAsia="ru-RU"/>
        </w:rPr>
      </w:pPr>
      <w:r w:rsidRPr="00C37E76">
        <w:rPr>
          <w:rFonts w:eastAsia="Times New Roman"/>
          <w:szCs w:val="24"/>
          <w:lang w:eastAsia="ru-RU"/>
        </w:rPr>
        <w:t>Мелфалан</w:t>
      </w:r>
      <w:r>
        <w:rPr>
          <w:rFonts w:eastAsia="Times New Roman"/>
          <w:szCs w:val="24"/>
          <w:lang w:eastAsia="ru-RU"/>
        </w:rPr>
        <w:t>**</w:t>
      </w:r>
      <w:r w:rsidRPr="00C37E76">
        <w:rPr>
          <w:rFonts w:eastAsia="Times New Roman"/>
          <w:szCs w:val="24"/>
          <w:lang w:eastAsia="ru-RU"/>
        </w:rPr>
        <w:t xml:space="preserve"> 9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rsidR="000546DA" w:rsidRPr="00C37E76" w:rsidRDefault="000546DA" w:rsidP="002F2D5C">
      <w:pPr>
        <w:pStyle w:val="a5"/>
        <w:numPr>
          <w:ilvl w:val="0"/>
          <w:numId w:val="24"/>
        </w:numPr>
        <w:spacing w:before="0" w:after="0"/>
        <w:jc w:val="left"/>
        <w:rPr>
          <w:rFonts w:eastAsia="Times New Roman"/>
          <w:szCs w:val="24"/>
          <w:lang w:eastAsia="ru-RU"/>
        </w:rPr>
      </w:pPr>
      <w:r w:rsidRPr="00C37E76">
        <w:rPr>
          <w:rFonts w:eastAsia="Times New Roman"/>
          <w:szCs w:val="24"/>
          <w:lang w:eastAsia="ru-RU"/>
        </w:rPr>
        <w:t>Преднизолон</w:t>
      </w:r>
      <w:r>
        <w:rPr>
          <w:rFonts w:eastAsia="Times New Roman"/>
          <w:szCs w:val="24"/>
          <w:lang w:eastAsia="ru-RU"/>
        </w:rPr>
        <w:t>**</w:t>
      </w:r>
      <w:r w:rsidRPr="00C37E76">
        <w:rPr>
          <w:rFonts w:eastAsia="Times New Roman"/>
          <w:szCs w:val="24"/>
          <w:lang w:eastAsia="ru-RU"/>
        </w:rPr>
        <w:t xml:space="preserve"> 100 мг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43</w:t>
      </w:r>
      <w:r w:rsidR="006312BA">
        <w:rPr>
          <w:rFonts w:eastAsia="Times New Roman"/>
          <w:szCs w:val="24"/>
          <w:lang w:eastAsia="ru-RU"/>
        </w:rPr>
        <w:t>-й</w:t>
      </w:r>
      <w:r w:rsidRPr="00C37E76">
        <w:rPr>
          <w:rFonts w:eastAsia="Times New Roman"/>
          <w:szCs w:val="24"/>
          <w:lang w:eastAsia="ru-RU"/>
        </w:rPr>
        <w:t xml:space="preserve"> день</w:t>
      </w:r>
      <w:r w:rsidR="00E86459">
        <w:rPr>
          <w:rFonts w:eastAsia="Times New Roman"/>
          <w:szCs w:val="24"/>
          <w:lang w:eastAsia="ru-RU"/>
        </w:rPr>
        <w:t>.</w:t>
      </w:r>
    </w:p>
    <w:p w:rsidR="000546DA" w:rsidRPr="000B4176" w:rsidRDefault="000546DA" w:rsidP="00131E36">
      <w:pPr>
        <w:spacing w:before="0" w:after="0"/>
        <w:contextualSpacing/>
        <w:rPr>
          <w:rFonts w:eastAsia="Times New Roman"/>
          <w:szCs w:val="24"/>
          <w:lang w:eastAsia="ru-RU"/>
        </w:rPr>
      </w:pPr>
      <w:r w:rsidRPr="00C37E76">
        <w:rPr>
          <w:rFonts w:eastAsia="Times New Roman"/>
          <w:szCs w:val="24"/>
          <w:lang w:eastAsia="ru-RU"/>
        </w:rPr>
        <w:t>Проводят до достижения фазы плато</w:t>
      </w:r>
      <w:r w:rsidR="00E86459">
        <w:rPr>
          <w:rFonts w:eastAsia="Times New Roman"/>
          <w:szCs w:val="24"/>
          <w:lang w:eastAsia="ru-RU"/>
        </w:rPr>
        <w:t>.</w:t>
      </w:r>
    </w:p>
    <w:p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СР</w:t>
      </w:r>
    </w:p>
    <w:p w:rsidR="000546DA" w:rsidRPr="00C37E76" w:rsidRDefault="000546DA" w:rsidP="002F2D5C">
      <w:pPr>
        <w:pStyle w:val="a5"/>
        <w:numPr>
          <w:ilvl w:val="0"/>
          <w:numId w:val="25"/>
        </w:numPr>
        <w:spacing w:before="0" w:after="0"/>
        <w:jc w:val="left"/>
        <w:rPr>
          <w:rFonts w:eastAsia="Times New Roman"/>
          <w:szCs w:val="24"/>
          <w:lang w:eastAsia="ru-RU"/>
        </w:rPr>
      </w:pPr>
      <w:r w:rsidRPr="00C37E76">
        <w:rPr>
          <w:rFonts w:eastAsia="Times New Roman"/>
          <w:szCs w:val="24"/>
          <w:lang w:eastAsia="ru-RU"/>
        </w:rPr>
        <w:t>Циклофосфамид</w:t>
      </w:r>
      <w:r>
        <w:rPr>
          <w:rFonts w:eastAsia="Times New Roman"/>
          <w:szCs w:val="24"/>
          <w:lang w:eastAsia="ru-RU"/>
        </w:rPr>
        <w:t>**</w:t>
      </w:r>
      <w:r w:rsidRPr="00C37E76">
        <w:rPr>
          <w:rFonts w:eastAsia="Times New Roman"/>
          <w:szCs w:val="24"/>
          <w:lang w:eastAsia="ru-RU"/>
        </w:rPr>
        <w:t xml:space="preserve"> 200 мг в/м ежедневно или 400 мг в/м через день под контролем показателей кр</w:t>
      </w:r>
      <w:r w:rsidR="006312BA">
        <w:rPr>
          <w:rFonts w:eastAsia="Times New Roman"/>
          <w:szCs w:val="24"/>
          <w:lang w:eastAsia="ru-RU"/>
        </w:rPr>
        <w:t>ови. Прервать при нейтрофилах &lt;</w:t>
      </w:r>
      <w:r w:rsidRPr="00C37E76">
        <w:rPr>
          <w:rFonts w:eastAsia="Times New Roman"/>
          <w:szCs w:val="24"/>
          <w:lang w:eastAsia="ru-RU"/>
        </w:rPr>
        <w:t>1</w:t>
      </w:r>
      <w:r w:rsidR="006312BA">
        <w:rPr>
          <w:rFonts w:eastAsia="Times New Roman"/>
          <w:szCs w:val="24"/>
          <w:lang w:eastAsia="ru-RU"/>
        </w:rPr>
        <w:t xml:space="preserve"> × </w:t>
      </w:r>
      <w:r w:rsidRPr="00C37E76">
        <w:rPr>
          <w:rFonts w:eastAsia="Times New Roman"/>
          <w:szCs w:val="24"/>
          <w:lang w:eastAsia="ru-RU"/>
        </w:rPr>
        <w:t>10</w:t>
      </w:r>
      <w:r w:rsidRPr="00C37E76">
        <w:rPr>
          <w:rFonts w:eastAsia="Times New Roman"/>
          <w:szCs w:val="24"/>
          <w:vertAlign w:val="superscript"/>
          <w:lang w:eastAsia="ru-RU"/>
        </w:rPr>
        <w:t>9</w:t>
      </w:r>
      <w:r w:rsidRPr="00C37E76">
        <w:rPr>
          <w:rFonts w:eastAsia="Times New Roman"/>
          <w:szCs w:val="24"/>
          <w:lang w:eastAsia="ru-RU"/>
        </w:rPr>
        <w:t>/л, тромбоцитах &lt; 75</w:t>
      </w:r>
      <w:r w:rsidR="006312BA">
        <w:rPr>
          <w:rFonts w:eastAsia="Times New Roman"/>
          <w:szCs w:val="24"/>
          <w:lang w:eastAsia="ru-RU"/>
        </w:rPr>
        <w:t xml:space="preserve"> × </w:t>
      </w:r>
      <w:r w:rsidRPr="00C37E76">
        <w:rPr>
          <w:rFonts w:eastAsia="Times New Roman"/>
          <w:szCs w:val="24"/>
          <w:lang w:eastAsia="ru-RU"/>
        </w:rPr>
        <w:t>10</w:t>
      </w:r>
      <w:r w:rsidRPr="00C37E76">
        <w:rPr>
          <w:rFonts w:eastAsia="Times New Roman"/>
          <w:szCs w:val="24"/>
          <w:vertAlign w:val="superscript"/>
          <w:lang w:eastAsia="ru-RU"/>
        </w:rPr>
        <w:t>9</w:t>
      </w:r>
      <w:r w:rsidRPr="00C37E76">
        <w:rPr>
          <w:rFonts w:eastAsia="Times New Roman"/>
          <w:szCs w:val="24"/>
          <w:lang w:eastAsia="ru-RU"/>
        </w:rPr>
        <w:t>/л</w:t>
      </w:r>
      <w:r w:rsidR="006312BA">
        <w:rPr>
          <w:rFonts w:eastAsia="Times New Roman"/>
          <w:szCs w:val="24"/>
          <w:lang w:eastAsia="ru-RU"/>
        </w:rPr>
        <w:t>.</w:t>
      </w:r>
      <w:r w:rsidRPr="00C37E76">
        <w:rPr>
          <w:rFonts w:eastAsia="Times New Roman"/>
          <w:szCs w:val="24"/>
          <w:lang w:eastAsia="ru-RU"/>
        </w:rPr>
        <w:t xml:space="preserve"> Средняя суммарная доза составляет 6</w:t>
      </w:r>
      <w:r w:rsidR="006312BA">
        <w:rPr>
          <w:rFonts w:eastAsia="Times New Roman"/>
          <w:szCs w:val="24"/>
          <w:lang w:eastAsia="ru-RU"/>
        </w:rPr>
        <w:t>‒</w:t>
      </w:r>
      <w:r w:rsidRPr="00C37E76">
        <w:rPr>
          <w:rFonts w:eastAsia="Times New Roman"/>
          <w:szCs w:val="24"/>
          <w:lang w:eastAsia="ru-RU"/>
        </w:rPr>
        <w:t xml:space="preserve">8 г. </w:t>
      </w:r>
      <w:r w:rsidR="006312BA">
        <w:rPr>
          <w:rFonts w:eastAsia="Times New Roman"/>
          <w:szCs w:val="24"/>
          <w:lang w:eastAsia="ru-RU"/>
        </w:rPr>
        <w:t xml:space="preserve"> </w:t>
      </w:r>
    </w:p>
    <w:p w:rsidR="000546DA" w:rsidRPr="00C37E76" w:rsidRDefault="000546DA" w:rsidP="002F2D5C">
      <w:pPr>
        <w:pStyle w:val="a5"/>
        <w:numPr>
          <w:ilvl w:val="0"/>
          <w:numId w:val="25"/>
        </w:numPr>
        <w:spacing w:before="0" w:after="0"/>
        <w:jc w:val="left"/>
        <w:rPr>
          <w:rFonts w:eastAsia="Times New Roman"/>
          <w:szCs w:val="24"/>
          <w:lang w:eastAsia="ru-RU"/>
        </w:rPr>
      </w:pPr>
      <w:r w:rsidRPr="00C37E76">
        <w:rPr>
          <w:rFonts w:eastAsia="Times New Roman"/>
          <w:szCs w:val="24"/>
          <w:lang w:eastAsia="ru-RU"/>
        </w:rPr>
        <w:t>Преднизолон</w:t>
      </w:r>
      <w:r>
        <w:rPr>
          <w:rFonts w:eastAsia="Times New Roman"/>
          <w:szCs w:val="24"/>
          <w:lang w:eastAsia="ru-RU"/>
        </w:rPr>
        <w:t>**</w:t>
      </w:r>
      <w:r w:rsidRPr="00C37E76">
        <w:rPr>
          <w:rFonts w:eastAsia="Times New Roman"/>
          <w:szCs w:val="24"/>
          <w:lang w:eastAsia="ru-RU"/>
        </w:rPr>
        <w:t xml:space="preserve"> 40</w:t>
      </w:r>
      <w:r w:rsidR="006312BA">
        <w:rPr>
          <w:rFonts w:eastAsia="Times New Roman"/>
          <w:szCs w:val="24"/>
          <w:lang w:eastAsia="ru-RU"/>
        </w:rPr>
        <w:t>‒</w:t>
      </w:r>
      <w:r w:rsidRPr="00C37E76">
        <w:rPr>
          <w:rFonts w:eastAsia="Times New Roman"/>
          <w:szCs w:val="24"/>
          <w:lang w:eastAsia="ru-RU"/>
        </w:rPr>
        <w:t>60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7</w:t>
      </w:r>
      <w:r w:rsidR="006312BA">
        <w:rPr>
          <w:rFonts w:eastAsia="Times New Roman"/>
          <w:szCs w:val="24"/>
          <w:lang w:eastAsia="ru-RU"/>
        </w:rPr>
        <w:t>-й</w:t>
      </w:r>
      <w:r w:rsidRPr="00C37E76">
        <w:rPr>
          <w:rFonts w:eastAsia="Times New Roman"/>
          <w:szCs w:val="24"/>
          <w:lang w:eastAsia="ru-RU"/>
        </w:rPr>
        <w:t xml:space="preserve"> </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21</w:t>
      </w:r>
      <w:r w:rsidR="006312BA">
        <w:rPr>
          <w:rFonts w:eastAsia="Times New Roman"/>
          <w:szCs w:val="24"/>
          <w:lang w:eastAsia="ru-RU"/>
        </w:rPr>
        <w:t>‒</w:t>
      </w:r>
      <w:r w:rsidRPr="00C37E76">
        <w:rPr>
          <w:rFonts w:eastAsia="Times New Roman"/>
          <w:szCs w:val="24"/>
          <w:lang w:eastAsia="ru-RU"/>
        </w:rPr>
        <w:t>28</w:t>
      </w:r>
      <w:r w:rsidR="006312BA">
        <w:rPr>
          <w:rFonts w:eastAsia="Times New Roman"/>
          <w:szCs w:val="24"/>
          <w:lang w:eastAsia="ru-RU"/>
        </w:rPr>
        <w:t>-й</w:t>
      </w:r>
      <w:r w:rsidRPr="00C37E76">
        <w:rPr>
          <w:rFonts w:eastAsia="Times New Roman"/>
          <w:szCs w:val="24"/>
          <w:lang w:eastAsia="ru-RU"/>
        </w:rPr>
        <w:t xml:space="preserve"> день после восстановления показателей крови.</w:t>
      </w:r>
    </w:p>
    <w:p w:rsidR="000546DA" w:rsidRPr="00C37E76" w:rsidRDefault="000546DA" w:rsidP="00131E36">
      <w:pPr>
        <w:spacing w:before="0" w:after="0"/>
        <w:contextualSpacing/>
        <w:rPr>
          <w:rFonts w:eastAsia="Times New Roman"/>
          <w:szCs w:val="24"/>
        </w:rPr>
      </w:pPr>
      <w:r w:rsidRPr="00C37E76">
        <w:rPr>
          <w:rFonts w:eastAsia="Times New Roman"/>
          <w:b/>
          <w:szCs w:val="24"/>
        </w:rPr>
        <w:t xml:space="preserve">BP </w:t>
      </w:r>
    </w:p>
    <w:p w:rsidR="000546DA" w:rsidRPr="00C37E76" w:rsidRDefault="000546DA" w:rsidP="002F2D5C">
      <w:pPr>
        <w:pStyle w:val="a5"/>
        <w:numPr>
          <w:ilvl w:val="0"/>
          <w:numId w:val="26"/>
        </w:numPr>
        <w:suppressAutoHyphens/>
        <w:spacing w:before="0" w:after="0"/>
        <w:jc w:val="left"/>
        <w:rPr>
          <w:rFonts w:eastAsia="Times New Roman"/>
          <w:szCs w:val="24"/>
        </w:rPr>
      </w:pPr>
      <w:r w:rsidRPr="00C37E76">
        <w:rPr>
          <w:rFonts w:eastAsia="Times New Roman"/>
          <w:szCs w:val="24"/>
        </w:rPr>
        <w:t>Бендамустин</w:t>
      </w:r>
      <w:r>
        <w:rPr>
          <w:rFonts w:eastAsia="Times New Roman"/>
          <w:szCs w:val="24"/>
          <w:lang w:eastAsia="ru-RU"/>
        </w:rPr>
        <w:t>**</w:t>
      </w:r>
      <w:r w:rsidRPr="00C37E76">
        <w:rPr>
          <w:rFonts w:eastAsia="Times New Roman"/>
          <w:szCs w:val="24"/>
        </w:rPr>
        <w:t xml:space="preserve"> 100</w:t>
      </w:r>
      <w:r w:rsidR="00E86459">
        <w:rPr>
          <w:rFonts w:eastAsia="Times New Roman"/>
          <w:szCs w:val="24"/>
        </w:rPr>
        <w:t>‒</w:t>
      </w:r>
      <w:r w:rsidRPr="00C37E76">
        <w:rPr>
          <w:rFonts w:eastAsia="Times New Roman"/>
          <w:szCs w:val="24"/>
        </w:rPr>
        <w:t>150 мг/м</w:t>
      </w:r>
      <w:r w:rsidRPr="00C37E76">
        <w:rPr>
          <w:rFonts w:eastAsia="Times New Roman"/>
          <w:szCs w:val="24"/>
          <w:vertAlign w:val="superscript"/>
        </w:rPr>
        <w:t>2</w:t>
      </w:r>
      <w:r w:rsidRPr="00C37E76">
        <w:rPr>
          <w:rFonts w:eastAsia="Times New Roman"/>
          <w:szCs w:val="24"/>
        </w:rPr>
        <w:t xml:space="preserve"> в/в в дни 1, 2</w:t>
      </w:r>
      <w:r w:rsidR="00E86459">
        <w:rPr>
          <w:rFonts w:eastAsia="Times New Roman"/>
          <w:szCs w:val="24"/>
        </w:rPr>
        <w:t>-й</w:t>
      </w:r>
    </w:p>
    <w:p w:rsidR="000546DA" w:rsidRPr="00C37E76" w:rsidRDefault="000546DA" w:rsidP="002F2D5C">
      <w:pPr>
        <w:pStyle w:val="a5"/>
        <w:numPr>
          <w:ilvl w:val="0"/>
          <w:numId w:val="26"/>
        </w:numPr>
        <w:suppressAutoHyphens/>
        <w:spacing w:before="0" w:after="0"/>
        <w:jc w:val="left"/>
        <w:rPr>
          <w:rFonts w:eastAsia="Times New Roman"/>
          <w:szCs w:val="24"/>
        </w:rPr>
      </w:pPr>
      <w:r w:rsidRPr="00C37E76">
        <w:rPr>
          <w:rFonts w:eastAsia="Times New Roman"/>
          <w:szCs w:val="24"/>
        </w:rPr>
        <w:t>Преднизолон</w:t>
      </w:r>
      <w:r>
        <w:rPr>
          <w:rFonts w:eastAsia="Times New Roman"/>
          <w:szCs w:val="24"/>
          <w:lang w:eastAsia="ru-RU"/>
        </w:rPr>
        <w:t>**</w:t>
      </w:r>
      <w:r w:rsidRPr="00C37E76">
        <w:rPr>
          <w:rFonts w:eastAsia="Times New Roman"/>
          <w:szCs w:val="24"/>
        </w:rPr>
        <w:t xml:space="preserve"> 60 мг/м</w:t>
      </w:r>
      <w:r w:rsidRPr="00C37E76">
        <w:rPr>
          <w:rFonts w:eastAsia="Times New Roman"/>
          <w:szCs w:val="24"/>
          <w:vertAlign w:val="superscript"/>
        </w:rPr>
        <w:t>2</w:t>
      </w:r>
      <w:r w:rsidRPr="00C37E76">
        <w:rPr>
          <w:rFonts w:eastAsia="Times New Roman"/>
          <w:szCs w:val="24"/>
        </w:rPr>
        <w:t xml:space="preserve"> внутрь в дни 1</w:t>
      </w:r>
      <w:r w:rsidR="00E86459">
        <w:rPr>
          <w:rFonts w:eastAsia="Times New Roman"/>
          <w:szCs w:val="24"/>
        </w:rPr>
        <w:t>‒</w:t>
      </w:r>
      <w:r w:rsidRPr="00C37E76">
        <w:rPr>
          <w:rFonts w:eastAsia="Times New Roman"/>
          <w:szCs w:val="24"/>
        </w:rPr>
        <w:t>7</w:t>
      </w:r>
      <w:r w:rsidR="00E86459">
        <w:rPr>
          <w:rFonts w:eastAsia="Times New Roman"/>
          <w:szCs w:val="24"/>
          <w:lang w:eastAsia="ru-RU"/>
        </w:rPr>
        <w:t>-й</w:t>
      </w:r>
    </w:p>
    <w:p w:rsidR="000546DA" w:rsidRPr="00C37E76" w:rsidRDefault="000546DA" w:rsidP="00131E36">
      <w:pPr>
        <w:spacing w:before="0" w:after="0"/>
        <w:contextualSpacing/>
        <w:rPr>
          <w:rFonts w:eastAsia="Times New Roman"/>
          <w:szCs w:val="24"/>
        </w:rPr>
      </w:pPr>
      <w:r w:rsidRPr="00C37E76">
        <w:rPr>
          <w:rFonts w:eastAsia="Times New Roman"/>
          <w:szCs w:val="24"/>
        </w:rPr>
        <w:t>Лечение возобновляется на 29</w:t>
      </w:r>
      <w:r w:rsidR="00E86459">
        <w:rPr>
          <w:rFonts w:eastAsia="Times New Roman"/>
          <w:szCs w:val="24"/>
          <w:lang w:eastAsia="ru-RU"/>
        </w:rPr>
        <w:t>-й</w:t>
      </w:r>
      <w:r w:rsidRPr="00C37E76">
        <w:rPr>
          <w:rFonts w:eastAsia="Times New Roman"/>
          <w:szCs w:val="24"/>
        </w:rPr>
        <w:t xml:space="preserve"> день</w:t>
      </w:r>
      <w:r w:rsidR="00E86459">
        <w:rPr>
          <w:rFonts w:eastAsia="Times New Roman"/>
          <w:szCs w:val="24"/>
        </w:rPr>
        <w:t>.</w:t>
      </w:r>
    </w:p>
    <w:p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Монотерапия дексаметазоном</w:t>
      </w:r>
    </w:p>
    <w:p w:rsidR="000546DA" w:rsidRPr="00C37E76" w:rsidRDefault="000546DA" w:rsidP="002F2D5C">
      <w:pPr>
        <w:pStyle w:val="a5"/>
        <w:numPr>
          <w:ilvl w:val="0"/>
          <w:numId w:val="27"/>
        </w:numPr>
        <w:spacing w:before="0" w:after="0"/>
        <w:jc w:val="left"/>
        <w:rPr>
          <w:rFonts w:eastAsia="Times New Roman"/>
          <w:szCs w:val="24"/>
          <w:lang w:eastAsia="ru-RU"/>
        </w:rPr>
      </w:pPr>
      <w:r w:rsidRPr="00C37E76">
        <w:rPr>
          <w:rFonts w:eastAsia="Times New Roman"/>
          <w:szCs w:val="24"/>
          <w:lang w:eastAsia="ru-RU"/>
        </w:rPr>
        <w:t>Дексаметазон</w:t>
      </w:r>
      <w:r>
        <w:rPr>
          <w:rFonts w:eastAsia="Times New Roman"/>
          <w:szCs w:val="24"/>
          <w:lang w:eastAsia="ru-RU"/>
        </w:rPr>
        <w:t>**</w:t>
      </w:r>
      <w:r w:rsidRPr="00C37E76">
        <w:rPr>
          <w:rFonts w:eastAsia="Times New Roman"/>
          <w:szCs w:val="24"/>
          <w:lang w:eastAsia="ru-RU"/>
        </w:rPr>
        <w:t xml:space="preserve"> 40 мг внутрь, дни 1</w:t>
      </w:r>
      <w:r w:rsidR="00E86459">
        <w:rPr>
          <w:rFonts w:eastAsia="Times New Roman"/>
          <w:szCs w:val="24"/>
          <w:lang w:eastAsia="ru-RU"/>
        </w:rPr>
        <w:t>‒</w:t>
      </w:r>
      <w:r w:rsidRPr="00C37E76">
        <w:rPr>
          <w:rFonts w:eastAsia="Times New Roman"/>
          <w:szCs w:val="24"/>
          <w:lang w:eastAsia="ru-RU"/>
        </w:rPr>
        <w:t>4</w:t>
      </w:r>
      <w:r w:rsidR="00E86459">
        <w:rPr>
          <w:rFonts w:eastAsia="Times New Roman"/>
          <w:szCs w:val="24"/>
          <w:lang w:eastAsia="ru-RU"/>
        </w:rPr>
        <w:t>-й</w:t>
      </w:r>
      <w:r w:rsidRPr="00C37E76">
        <w:rPr>
          <w:rFonts w:eastAsia="Times New Roman"/>
          <w:szCs w:val="24"/>
          <w:lang w:eastAsia="ru-RU"/>
        </w:rPr>
        <w:t>, 9</w:t>
      </w:r>
      <w:r w:rsidR="00E86459">
        <w:rPr>
          <w:rFonts w:eastAsia="Times New Roman"/>
          <w:szCs w:val="24"/>
          <w:lang w:eastAsia="ru-RU"/>
        </w:rPr>
        <w:t>‒</w:t>
      </w:r>
      <w:r w:rsidRPr="00C37E76">
        <w:rPr>
          <w:rFonts w:eastAsia="Times New Roman"/>
          <w:szCs w:val="24"/>
          <w:lang w:eastAsia="ru-RU"/>
        </w:rPr>
        <w:t>12</w:t>
      </w:r>
      <w:r w:rsidR="00E86459">
        <w:rPr>
          <w:rFonts w:eastAsia="Times New Roman"/>
          <w:szCs w:val="24"/>
          <w:lang w:eastAsia="ru-RU"/>
        </w:rPr>
        <w:t>-й</w:t>
      </w:r>
      <w:r w:rsidRPr="00C37E76">
        <w:rPr>
          <w:rFonts w:eastAsia="Times New Roman"/>
          <w:szCs w:val="24"/>
          <w:lang w:eastAsia="ru-RU"/>
        </w:rPr>
        <w:t>, 17</w:t>
      </w:r>
      <w:r w:rsidR="00E86459">
        <w:rPr>
          <w:rFonts w:eastAsia="Times New Roman"/>
          <w:szCs w:val="24"/>
          <w:lang w:eastAsia="ru-RU"/>
        </w:rPr>
        <w:t>‒</w:t>
      </w:r>
      <w:r w:rsidRPr="00C37E76">
        <w:rPr>
          <w:rFonts w:eastAsia="Times New Roman"/>
          <w:szCs w:val="24"/>
          <w:lang w:eastAsia="ru-RU"/>
        </w:rPr>
        <w:t>20</w:t>
      </w:r>
      <w:r w:rsidR="00E86459">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29</w:t>
      </w:r>
      <w:r w:rsidR="00E86459">
        <w:rPr>
          <w:rFonts w:eastAsia="Times New Roman"/>
          <w:szCs w:val="24"/>
          <w:lang w:eastAsia="ru-RU"/>
        </w:rPr>
        <w:t>‒</w:t>
      </w:r>
      <w:r w:rsidRPr="00C37E76">
        <w:rPr>
          <w:rFonts w:eastAsia="Times New Roman"/>
          <w:szCs w:val="24"/>
          <w:lang w:eastAsia="ru-RU"/>
        </w:rPr>
        <w:t>35</w:t>
      </w:r>
      <w:r w:rsidR="00E86459">
        <w:rPr>
          <w:rFonts w:eastAsia="Times New Roman"/>
          <w:szCs w:val="24"/>
          <w:lang w:eastAsia="ru-RU"/>
        </w:rPr>
        <w:t>-й</w:t>
      </w:r>
      <w:r w:rsidRPr="00C37E76">
        <w:rPr>
          <w:rFonts w:eastAsia="Times New Roman"/>
          <w:szCs w:val="24"/>
          <w:lang w:eastAsia="ru-RU"/>
        </w:rPr>
        <w:t xml:space="preserve"> день</w:t>
      </w:r>
    </w:p>
    <w:p w:rsidR="000546DA" w:rsidRPr="00C37E76" w:rsidRDefault="000546DA" w:rsidP="00131E36">
      <w:pPr>
        <w:spacing w:before="0" w:after="0"/>
        <w:contextualSpacing/>
        <w:rPr>
          <w:rFonts w:eastAsia="Times New Roman"/>
          <w:b/>
          <w:i/>
          <w:szCs w:val="24"/>
          <w:lang w:eastAsia="ru-RU"/>
        </w:rPr>
      </w:pPr>
      <w:r w:rsidRPr="00C37E76">
        <w:rPr>
          <w:rFonts w:eastAsia="Times New Roman"/>
          <w:b/>
          <w:i/>
          <w:szCs w:val="24"/>
          <w:lang w:eastAsia="ru-RU"/>
        </w:rPr>
        <w:t xml:space="preserve">Схемы индукционной терапии первичных </w:t>
      </w:r>
      <w:r w:rsidRPr="00FB03BB">
        <w:rPr>
          <w:rFonts w:eastAsia="Times New Roman"/>
          <w:b/>
          <w:i/>
          <w:szCs w:val="24"/>
          <w:lang w:eastAsia="ru-RU"/>
        </w:rPr>
        <w:t>пациентов</w:t>
      </w:r>
      <w:r w:rsidRPr="00C37E76">
        <w:rPr>
          <w:rFonts w:eastAsia="Times New Roman"/>
          <w:b/>
          <w:i/>
          <w:szCs w:val="24"/>
          <w:lang w:eastAsia="ru-RU"/>
        </w:rPr>
        <w:t xml:space="preserve"> – кандидатов на аутологичную трансплантацию</w:t>
      </w:r>
    </w:p>
    <w:p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PAD</w:t>
      </w:r>
    </w:p>
    <w:p w:rsidR="000546DA" w:rsidRPr="00C37E76" w:rsidRDefault="000546DA" w:rsidP="002F2D5C">
      <w:pPr>
        <w:pStyle w:val="a5"/>
        <w:numPr>
          <w:ilvl w:val="0"/>
          <w:numId w:val="27"/>
        </w:numPr>
        <w:spacing w:before="0" w:after="0"/>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4, 8, 11</w:t>
      </w:r>
      <w:r w:rsidR="00E86459">
        <w:rPr>
          <w:rFonts w:eastAsia="Times New Roman"/>
          <w:szCs w:val="24"/>
          <w:lang w:eastAsia="ru-RU"/>
        </w:rPr>
        <w:t>-й</w:t>
      </w:r>
    </w:p>
    <w:p w:rsidR="000546DA" w:rsidRPr="00C37E76" w:rsidRDefault="000546DA" w:rsidP="002F2D5C">
      <w:pPr>
        <w:pStyle w:val="a5"/>
        <w:numPr>
          <w:ilvl w:val="0"/>
          <w:numId w:val="27"/>
        </w:numPr>
        <w:spacing w:before="0" w:after="0"/>
        <w:jc w:val="left"/>
        <w:rPr>
          <w:rFonts w:eastAsia="Times New Roman"/>
          <w:szCs w:val="24"/>
          <w:lang w:eastAsia="ru-RU"/>
        </w:rPr>
      </w:pPr>
      <w:r w:rsidRPr="00C37E76">
        <w:rPr>
          <w:rFonts w:eastAsia="Times New Roman"/>
          <w:szCs w:val="24"/>
          <w:lang w:eastAsia="ru-RU"/>
        </w:rPr>
        <w:lastRenderedPageBreak/>
        <w:t>Доксорубицин</w:t>
      </w:r>
      <w:r>
        <w:rPr>
          <w:rFonts w:eastAsia="Times New Roman"/>
          <w:szCs w:val="24"/>
          <w:lang w:eastAsia="ru-RU"/>
        </w:rPr>
        <w:t>**</w:t>
      </w:r>
      <w:r w:rsidRPr="00C37E76">
        <w:rPr>
          <w:rFonts w:eastAsia="Times New Roman"/>
          <w:szCs w:val="24"/>
          <w:lang w:eastAsia="ru-RU"/>
        </w:rPr>
        <w:t xml:space="preserve"> 9 мг/м</w:t>
      </w:r>
      <w:r w:rsidRPr="00C37E76">
        <w:rPr>
          <w:rFonts w:eastAsia="Times New Roman"/>
          <w:szCs w:val="24"/>
          <w:vertAlign w:val="superscript"/>
          <w:lang w:eastAsia="ru-RU"/>
        </w:rPr>
        <w:t>2</w:t>
      </w:r>
      <w:r w:rsidRPr="00C37E76">
        <w:rPr>
          <w:rFonts w:eastAsia="Times New Roman"/>
          <w:szCs w:val="24"/>
          <w:lang w:eastAsia="ru-RU"/>
        </w:rPr>
        <w:t xml:space="preserve"> в виде постоянной инфузии или ежедневно болюсно, дни 1</w:t>
      </w:r>
      <w:r w:rsidR="00E86459">
        <w:rPr>
          <w:rFonts w:eastAsia="Times New Roman"/>
          <w:szCs w:val="24"/>
          <w:lang w:eastAsia="ru-RU"/>
        </w:rPr>
        <w:t>‒</w:t>
      </w:r>
      <w:r w:rsidRPr="00C37E76">
        <w:rPr>
          <w:rFonts w:eastAsia="Times New Roman"/>
          <w:szCs w:val="24"/>
          <w:lang w:eastAsia="ru-RU"/>
        </w:rPr>
        <w:t>4</w:t>
      </w:r>
      <w:r w:rsidR="00E86459">
        <w:rPr>
          <w:rFonts w:eastAsia="Times New Roman"/>
          <w:szCs w:val="24"/>
          <w:lang w:eastAsia="ru-RU"/>
        </w:rPr>
        <w:t>-й</w:t>
      </w:r>
    </w:p>
    <w:p w:rsidR="000546DA" w:rsidRPr="00C37E76" w:rsidRDefault="000546DA" w:rsidP="002F2D5C">
      <w:pPr>
        <w:pStyle w:val="a5"/>
        <w:numPr>
          <w:ilvl w:val="0"/>
          <w:numId w:val="27"/>
        </w:numPr>
        <w:spacing w:before="0" w:after="0"/>
        <w:jc w:val="left"/>
        <w:rPr>
          <w:rFonts w:eastAsia="Times New Roman"/>
          <w:szCs w:val="24"/>
          <w:lang w:eastAsia="ru-RU"/>
        </w:rPr>
      </w:pPr>
      <w:r w:rsidRPr="00C37E76">
        <w:rPr>
          <w:rFonts w:eastAsia="Times New Roman"/>
          <w:szCs w:val="24"/>
          <w:lang w:eastAsia="ru-RU"/>
        </w:rPr>
        <w:t>Дексаметазон</w:t>
      </w:r>
      <w:r>
        <w:rPr>
          <w:rFonts w:eastAsia="Times New Roman"/>
          <w:szCs w:val="24"/>
          <w:lang w:eastAsia="ru-RU"/>
        </w:rPr>
        <w:t>**</w:t>
      </w:r>
      <w:r w:rsidRPr="00C37E76">
        <w:rPr>
          <w:rFonts w:eastAsia="Times New Roman"/>
          <w:szCs w:val="24"/>
          <w:lang w:eastAsia="ru-RU"/>
        </w:rPr>
        <w:t xml:space="preserve"> 40 мг в/в кап</w:t>
      </w:r>
      <w:r w:rsidR="00E86459">
        <w:rPr>
          <w:rFonts w:eastAsia="Times New Roman"/>
          <w:szCs w:val="24"/>
          <w:lang w:eastAsia="ru-RU"/>
        </w:rPr>
        <w:t>ельно</w:t>
      </w:r>
      <w:r w:rsidRPr="00C37E76">
        <w:rPr>
          <w:rFonts w:eastAsia="Times New Roman"/>
          <w:szCs w:val="24"/>
          <w:lang w:eastAsia="ru-RU"/>
        </w:rPr>
        <w:t xml:space="preserve"> или внутрь, 1 цикл – дни 1</w:t>
      </w:r>
      <w:r w:rsidR="00E86459">
        <w:rPr>
          <w:rFonts w:eastAsia="Times New Roman"/>
          <w:szCs w:val="24"/>
          <w:lang w:eastAsia="ru-RU"/>
        </w:rPr>
        <w:t>‒</w:t>
      </w:r>
      <w:r w:rsidRPr="00C37E76">
        <w:rPr>
          <w:rFonts w:eastAsia="Times New Roman"/>
          <w:szCs w:val="24"/>
          <w:lang w:eastAsia="ru-RU"/>
        </w:rPr>
        <w:t>4</w:t>
      </w:r>
      <w:r w:rsidR="00E86459">
        <w:rPr>
          <w:rFonts w:eastAsia="Times New Roman"/>
          <w:szCs w:val="24"/>
          <w:lang w:eastAsia="ru-RU"/>
        </w:rPr>
        <w:t>-й</w:t>
      </w:r>
      <w:r w:rsidRPr="00C37E76">
        <w:rPr>
          <w:rFonts w:eastAsia="Times New Roman"/>
          <w:szCs w:val="24"/>
          <w:lang w:eastAsia="ru-RU"/>
        </w:rPr>
        <w:t xml:space="preserve"> и 8</w:t>
      </w:r>
      <w:r w:rsidR="00E86459">
        <w:rPr>
          <w:rFonts w:eastAsia="Times New Roman"/>
          <w:szCs w:val="24"/>
          <w:lang w:eastAsia="ru-RU"/>
        </w:rPr>
        <w:t>‒</w:t>
      </w:r>
      <w:r w:rsidRPr="00C37E76">
        <w:rPr>
          <w:rFonts w:eastAsia="Times New Roman"/>
          <w:szCs w:val="24"/>
          <w:lang w:eastAsia="ru-RU"/>
        </w:rPr>
        <w:t>11</w:t>
      </w:r>
      <w:r w:rsidR="00E86459">
        <w:rPr>
          <w:rFonts w:eastAsia="Times New Roman"/>
          <w:szCs w:val="24"/>
          <w:lang w:eastAsia="ru-RU"/>
        </w:rPr>
        <w:t>-й</w:t>
      </w:r>
      <w:r w:rsidRPr="00C37E76">
        <w:rPr>
          <w:rFonts w:eastAsia="Times New Roman"/>
          <w:szCs w:val="24"/>
          <w:lang w:eastAsia="ru-RU"/>
        </w:rPr>
        <w:t>, далее – дни 1</w:t>
      </w:r>
      <w:r w:rsidR="00E86459">
        <w:rPr>
          <w:rFonts w:eastAsia="Times New Roman"/>
          <w:szCs w:val="24"/>
          <w:lang w:eastAsia="ru-RU"/>
        </w:rPr>
        <w:t>‒</w:t>
      </w:r>
      <w:r w:rsidRPr="00C37E76">
        <w:rPr>
          <w:rFonts w:eastAsia="Times New Roman"/>
          <w:szCs w:val="24"/>
          <w:lang w:eastAsia="ru-RU"/>
        </w:rPr>
        <w:t>4</w:t>
      </w:r>
      <w:r w:rsidR="00E86459">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22</w:t>
      </w:r>
      <w:r w:rsidR="004204B1">
        <w:rPr>
          <w:rFonts w:eastAsia="Times New Roman"/>
          <w:szCs w:val="24"/>
          <w:lang w:eastAsia="ru-RU"/>
        </w:rPr>
        <w:t>-й</w:t>
      </w:r>
      <w:r w:rsidRPr="00C37E76">
        <w:rPr>
          <w:rFonts w:eastAsia="Times New Roman"/>
          <w:szCs w:val="24"/>
          <w:lang w:eastAsia="ru-RU"/>
        </w:rPr>
        <w:t xml:space="preserve"> день</w:t>
      </w:r>
      <w:r w:rsidR="00E86459">
        <w:rPr>
          <w:rFonts w:eastAsia="Times New Roman"/>
          <w:szCs w:val="24"/>
          <w:lang w:eastAsia="ru-RU"/>
        </w:rPr>
        <w:t>.</w:t>
      </w:r>
    </w:p>
    <w:p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VCD</w:t>
      </w:r>
    </w:p>
    <w:p w:rsidR="000546DA" w:rsidRPr="00C37E76" w:rsidRDefault="000546DA" w:rsidP="002F2D5C">
      <w:pPr>
        <w:pStyle w:val="a5"/>
        <w:numPr>
          <w:ilvl w:val="0"/>
          <w:numId w:val="28"/>
        </w:numPr>
        <w:spacing w:before="0" w:after="0"/>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4, 8, 11</w:t>
      </w:r>
      <w:r w:rsidR="004204B1">
        <w:rPr>
          <w:rFonts w:eastAsia="Times New Roman"/>
          <w:szCs w:val="24"/>
          <w:lang w:eastAsia="ru-RU"/>
        </w:rPr>
        <w:t>-й</w:t>
      </w:r>
    </w:p>
    <w:p w:rsidR="000546DA" w:rsidRPr="00C37E76" w:rsidRDefault="000546DA" w:rsidP="002F2D5C">
      <w:pPr>
        <w:pStyle w:val="a5"/>
        <w:numPr>
          <w:ilvl w:val="0"/>
          <w:numId w:val="28"/>
        </w:numPr>
        <w:spacing w:before="0" w:after="0"/>
        <w:jc w:val="left"/>
        <w:rPr>
          <w:rFonts w:eastAsia="Times New Roman"/>
          <w:szCs w:val="24"/>
          <w:lang w:eastAsia="ru-RU"/>
        </w:rPr>
      </w:pPr>
      <w:r w:rsidRPr="00C37E76">
        <w:rPr>
          <w:rFonts w:eastAsia="Times New Roman"/>
          <w:szCs w:val="24"/>
          <w:lang w:eastAsia="ru-RU"/>
        </w:rPr>
        <w:t>Циклофосфамид</w:t>
      </w:r>
      <w:r>
        <w:rPr>
          <w:rFonts w:eastAsia="Times New Roman"/>
          <w:szCs w:val="24"/>
          <w:lang w:eastAsia="ru-RU"/>
        </w:rPr>
        <w:t>**</w:t>
      </w:r>
      <w:r w:rsidRPr="00C37E76">
        <w:rPr>
          <w:rFonts w:eastAsia="Times New Roman"/>
          <w:szCs w:val="24"/>
          <w:lang w:eastAsia="ru-RU"/>
        </w:rPr>
        <w:t xml:space="preserve"> 400 мг/м</w:t>
      </w:r>
      <w:r w:rsidRPr="00C37E76">
        <w:rPr>
          <w:rFonts w:eastAsia="Times New Roman"/>
          <w:szCs w:val="24"/>
          <w:vertAlign w:val="superscript"/>
          <w:lang w:eastAsia="ru-RU"/>
        </w:rPr>
        <w:t>2</w:t>
      </w:r>
      <w:r w:rsidRPr="00C37E76">
        <w:rPr>
          <w:rFonts w:eastAsia="Times New Roman"/>
          <w:szCs w:val="24"/>
          <w:lang w:eastAsia="ru-RU"/>
        </w:rPr>
        <w:t>, в/в кап</w:t>
      </w:r>
      <w:r w:rsidR="004204B1">
        <w:rPr>
          <w:rFonts w:eastAsia="Times New Roman"/>
          <w:szCs w:val="24"/>
          <w:lang w:eastAsia="ru-RU"/>
        </w:rPr>
        <w:t>ельно</w:t>
      </w:r>
      <w:r w:rsidRPr="00C37E76">
        <w:rPr>
          <w:rFonts w:eastAsia="Times New Roman"/>
          <w:szCs w:val="24"/>
          <w:lang w:eastAsia="ru-RU"/>
        </w:rPr>
        <w:t>, дни 1, 8</w:t>
      </w:r>
      <w:r w:rsidR="004204B1">
        <w:rPr>
          <w:rFonts w:eastAsia="Times New Roman"/>
          <w:szCs w:val="24"/>
          <w:lang w:eastAsia="ru-RU"/>
        </w:rPr>
        <w:t>-й</w:t>
      </w:r>
      <w:r w:rsidRPr="00C37E76">
        <w:rPr>
          <w:rFonts w:eastAsia="Times New Roman"/>
          <w:szCs w:val="24"/>
          <w:lang w:eastAsia="ru-RU"/>
        </w:rPr>
        <w:t xml:space="preserve"> </w:t>
      </w:r>
    </w:p>
    <w:p w:rsidR="000546DA" w:rsidRPr="00C37E76" w:rsidRDefault="000546DA" w:rsidP="00131E36">
      <w:pPr>
        <w:spacing w:before="0" w:after="0"/>
        <w:ind w:left="708" w:firstLine="708"/>
        <w:contextualSpacing/>
        <w:rPr>
          <w:rFonts w:eastAsia="Times New Roman"/>
          <w:szCs w:val="24"/>
          <w:lang w:eastAsia="ru-RU"/>
        </w:rPr>
      </w:pPr>
      <w:r w:rsidRPr="00C37E76">
        <w:rPr>
          <w:rFonts w:eastAsia="Times New Roman"/>
          <w:szCs w:val="24"/>
          <w:lang w:eastAsia="ru-RU"/>
        </w:rPr>
        <w:t>или 200 мг в/в кап</w:t>
      </w:r>
      <w:r w:rsidR="004204B1">
        <w:rPr>
          <w:rFonts w:eastAsia="Times New Roman"/>
          <w:szCs w:val="24"/>
          <w:lang w:eastAsia="ru-RU"/>
        </w:rPr>
        <w:t>ельно</w:t>
      </w:r>
      <w:r w:rsidRPr="00C37E76">
        <w:rPr>
          <w:rFonts w:eastAsia="Times New Roman"/>
          <w:szCs w:val="24"/>
          <w:lang w:eastAsia="ru-RU"/>
        </w:rPr>
        <w:t>, дни 1, 4, 8, 11</w:t>
      </w:r>
      <w:r w:rsidR="004204B1">
        <w:rPr>
          <w:rFonts w:eastAsia="Times New Roman"/>
          <w:szCs w:val="24"/>
          <w:lang w:eastAsia="ru-RU"/>
        </w:rPr>
        <w:t>-й</w:t>
      </w:r>
      <w:r w:rsidRPr="00C37E76">
        <w:rPr>
          <w:rFonts w:eastAsia="Times New Roman"/>
          <w:szCs w:val="24"/>
          <w:lang w:eastAsia="ru-RU"/>
        </w:rPr>
        <w:t xml:space="preserve"> </w:t>
      </w:r>
    </w:p>
    <w:p w:rsidR="000546DA" w:rsidRPr="00C37E76" w:rsidRDefault="000546DA" w:rsidP="00131E36">
      <w:pPr>
        <w:spacing w:before="0" w:after="0"/>
        <w:ind w:left="708" w:firstLine="708"/>
        <w:contextualSpacing/>
        <w:rPr>
          <w:rFonts w:eastAsia="Times New Roman"/>
          <w:szCs w:val="24"/>
          <w:lang w:eastAsia="ru-RU"/>
        </w:rPr>
      </w:pPr>
      <w:r w:rsidRPr="00C37E76">
        <w:rPr>
          <w:rFonts w:eastAsia="Times New Roman"/>
          <w:szCs w:val="24"/>
          <w:lang w:eastAsia="ru-RU"/>
        </w:rPr>
        <w:t>или 50 мг внутрь, дни 1</w:t>
      </w:r>
      <w:r w:rsidR="004204B1">
        <w:rPr>
          <w:rFonts w:eastAsia="Times New Roman"/>
          <w:szCs w:val="24"/>
          <w:lang w:eastAsia="ru-RU"/>
        </w:rPr>
        <w:t>‒</w:t>
      </w:r>
      <w:r w:rsidRPr="00C37E76">
        <w:rPr>
          <w:rFonts w:eastAsia="Times New Roman"/>
          <w:szCs w:val="24"/>
          <w:lang w:eastAsia="ru-RU"/>
        </w:rPr>
        <w:t>14</w:t>
      </w:r>
      <w:r w:rsidR="004204B1">
        <w:rPr>
          <w:rFonts w:eastAsia="Times New Roman"/>
          <w:szCs w:val="24"/>
          <w:lang w:eastAsia="ru-RU"/>
        </w:rPr>
        <w:t>-й</w:t>
      </w:r>
    </w:p>
    <w:p w:rsidR="000546DA" w:rsidRPr="00C37E76" w:rsidRDefault="000546DA" w:rsidP="002F2D5C">
      <w:pPr>
        <w:pStyle w:val="a5"/>
        <w:numPr>
          <w:ilvl w:val="0"/>
          <w:numId w:val="29"/>
        </w:numPr>
        <w:spacing w:before="0" w:after="0"/>
        <w:jc w:val="left"/>
        <w:rPr>
          <w:rFonts w:eastAsia="Times New Roman"/>
          <w:szCs w:val="24"/>
          <w:lang w:eastAsia="ru-RU"/>
        </w:rPr>
      </w:pPr>
      <w:r w:rsidRPr="00C37E76">
        <w:rPr>
          <w:rFonts w:eastAsia="Times New Roman"/>
          <w:szCs w:val="24"/>
          <w:lang w:eastAsia="ru-RU"/>
        </w:rPr>
        <w:t>Дексаметазон</w:t>
      </w:r>
      <w:r>
        <w:rPr>
          <w:rFonts w:eastAsia="Times New Roman"/>
          <w:szCs w:val="24"/>
          <w:lang w:eastAsia="ru-RU"/>
        </w:rPr>
        <w:t>**</w:t>
      </w:r>
      <w:r w:rsidRPr="00C37E76">
        <w:rPr>
          <w:rFonts w:eastAsia="Times New Roman"/>
          <w:szCs w:val="24"/>
          <w:lang w:eastAsia="ru-RU"/>
        </w:rPr>
        <w:t xml:space="preserve"> 40 мг в/в кап</w:t>
      </w:r>
      <w:r w:rsidR="004204B1">
        <w:rPr>
          <w:rFonts w:eastAsia="Times New Roman"/>
          <w:szCs w:val="24"/>
          <w:lang w:eastAsia="ru-RU"/>
        </w:rPr>
        <w:t>ельно</w:t>
      </w:r>
      <w:r w:rsidRPr="00C37E76">
        <w:rPr>
          <w:rFonts w:eastAsia="Times New Roman"/>
          <w:szCs w:val="24"/>
          <w:lang w:eastAsia="ru-RU"/>
        </w:rPr>
        <w:t xml:space="preserve"> или внутрь, 1 цикл – дни 1</w:t>
      </w:r>
      <w:r w:rsidR="004204B1">
        <w:rPr>
          <w:rFonts w:eastAsia="Times New Roman"/>
          <w:szCs w:val="24"/>
          <w:lang w:eastAsia="ru-RU"/>
        </w:rPr>
        <w:t>‒</w:t>
      </w:r>
      <w:r w:rsidRPr="00C37E76">
        <w:rPr>
          <w:rFonts w:eastAsia="Times New Roman"/>
          <w:szCs w:val="24"/>
          <w:lang w:eastAsia="ru-RU"/>
        </w:rPr>
        <w:t>4</w:t>
      </w:r>
      <w:r w:rsidR="004204B1">
        <w:rPr>
          <w:rFonts w:eastAsia="Times New Roman"/>
          <w:szCs w:val="24"/>
          <w:lang w:eastAsia="ru-RU"/>
        </w:rPr>
        <w:t>-й</w:t>
      </w:r>
      <w:r w:rsidRPr="00C37E76">
        <w:rPr>
          <w:rFonts w:eastAsia="Times New Roman"/>
          <w:szCs w:val="24"/>
          <w:lang w:eastAsia="ru-RU"/>
        </w:rPr>
        <w:t xml:space="preserve"> и 8</w:t>
      </w:r>
      <w:r w:rsidR="004204B1">
        <w:rPr>
          <w:rFonts w:eastAsia="Times New Roman"/>
          <w:szCs w:val="24"/>
          <w:lang w:eastAsia="ru-RU"/>
        </w:rPr>
        <w:t>‒</w:t>
      </w:r>
      <w:r w:rsidRPr="00C37E76">
        <w:rPr>
          <w:rFonts w:eastAsia="Times New Roman"/>
          <w:szCs w:val="24"/>
          <w:lang w:eastAsia="ru-RU"/>
        </w:rPr>
        <w:t>11</w:t>
      </w:r>
      <w:r w:rsidR="004204B1">
        <w:rPr>
          <w:rFonts w:eastAsia="Times New Roman"/>
          <w:szCs w:val="24"/>
          <w:lang w:eastAsia="ru-RU"/>
        </w:rPr>
        <w:t>-й</w:t>
      </w:r>
      <w:r w:rsidRPr="00C37E76">
        <w:rPr>
          <w:rFonts w:eastAsia="Times New Roman"/>
          <w:szCs w:val="24"/>
          <w:lang w:eastAsia="ru-RU"/>
        </w:rPr>
        <w:t>, далее – дни 1</w:t>
      </w:r>
      <w:r w:rsidR="004204B1">
        <w:rPr>
          <w:rFonts w:eastAsia="Times New Roman"/>
          <w:szCs w:val="24"/>
          <w:lang w:eastAsia="ru-RU"/>
        </w:rPr>
        <w:t>‒</w:t>
      </w:r>
      <w:r w:rsidRPr="00C37E76">
        <w:rPr>
          <w:rFonts w:eastAsia="Times New Roman"/>
          <w:szCs w:val="24"/>
          <w:lang w:eastAsia="ru-RU"/>
        </w:rPr>
        <w:t>4</w:t>
      </w:r>
      <w:r w:rsidR="004204B1">
        <w:rPr>
          <w:rFonts w:eastAsia="Times New Roman"/>
          <w:szCs w:val="24"/>
          <w:lang w:eastAsia="ru-RU"/>
        </w:rPr>
        <w:t>-й</w:t>
      </w:r>
      <w:r w:rsidRPr="00C37E76">
        <w:rPr>
          <w:rFonts w:eastAsia="Times New Roman"/>
          <w:szCs w:val="24"/>
          <w:lang w:eastAsia="ru-RU"/>
        </w:rPr>
        <w:t xml:space="preserve"> </w:t>
      </w:r>
    </w:p>
    <w:p w:rsidR="000546DA" w:rsidRPr="00C37E76" w:rsidRDefault="000546DA" w:rsidP="00131E36">
      <w:pPr>
        <w:pStyle w:val="a5"/>
        <w:spacing w:before="0" w:after="0"/>
        <w:ind w:left="1080"/>
        <w:rPr>
          <w:rFonts w:eastAsia="Times New Roman"/>
          <w:szCs w:val="24"/>
          <w:lang w:eastAsia="ru-RU"/>
        </w:rPr>
      </w:pPr>
      <w:r w:rsidRPr="00C37E76">
        <w:rPr>
          <w:rFonts w:eastAsia="Times New Roman"/>
          <w:szCs w:val="24"/>
          <w:lang w:eastAsia="ru-RU"/>
        </w:rPr>
        <w:t>или 20 мг внутрь, дни 1, 2, 4, 5, 8, 9, 11, 12</w:t>
      </w:r>
      <w:r w:rsidR="004204B1">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22</w:t>
      </w:r>
      <w:r w:rsidR="004204B1">
        <w:rPr>
          <w:rFonts w:eastAsia="Times New Roman"/>
          <w:szCs w:val="24"/>
          <w:lang w:eastAsia="ru-RU"/>
        </w:rPr>
        <w:t>-й</w:t>
      </w:r>
      <w:r w:rsidRPr="00C37E76">
        <w:rPr>
          <w:rFonts w:eastAsia="Times New Roman"/>
          <w:szCs w:val="24"/>
          <w:lang w:eastAsia="ru-RU"/>
        </w:rPr>
        <w:t xml:space="preserve"> день</w:t>
      </w:r>
      <w:r w:rsidR="004204B1">
        <w:rPr>
          <w:rFonts w:eastAsia="Times New Roman"/>
          <w:szCs w:val="24"/>
          <w:lang w:eastAsia="ru-RU"/>
        </w:rPr>
        <w:t>.</w:t>
      </w:r>
    </w:p>
    <w:p w:rsidR="000546DA" w:rsidRPr="00C37E76" w:rsidRDefault="000546DA" w:rsidP="00131E36">
      <w:pPr>
        <w:spacing w:before="0" w:after="0"/>
        <w:contextualSpacing/>
        <w:rPr>
          <w:rFonts w:eastAsia="Times New Roman"/>
          <w:b/>
          <w:i/>
          <w:szCs w:val="24"/>
          <w:lang w:eastAsia="ru-RU"/>
        </w:rPr>
      </w:pPr>
      <w:r>
        <w:rPr>
          <w:rFonts w:eastAsia="Times New Roman"/>
          <w:b/>
          <w:i/>
          <w:szCs w:val="24"/>
          <w:lang w:eastAsia="ru-RU"/>
        </w:rPr>
        <w:t>Схемы лечения рецидивов</w:t>
      </w:r>
    </w:p>
    <w:p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Монотерапия бортезомибом</w:t>
      </w:r>
    </w:p>
    <w:p w:rsidR="000546DA" w:rsidRPr="00C37E76" w:rsidRDefault="000546DA" w:rsidP="002F2D5C">
      <w:pPr>
        <w:numPr>
          <w:ilvl w:val="0"/>
          <w:numId w:val="16"/>
        </w:numPr>
        <w:spacing w:before="0" w:after="0"/>
        <w:contextualSpacing/>
        <w:jc w:val="left"/>
        <w:rPr>
          <w:rFonts w:eastAsia="Times New Roman"/>
          <w:szCs w:val="24"/>
          <w:lang w:eastAsia="ru-RU"/>
        </w:rPr>
      </w:pPr>
      <w:r w:rsidRPr="00C37E76">
        <w:rPr>
          <w:rFonts w:eastAsia="Times New Roman"/>
          <w:szCs w:val="24"/>
          <w:lang w:eastAsia="ru-RU"/>
        </w:rPr>
        <w:t>1</w:t>
      </w:r>
      <w:r w:rsidR="004204B1">
        <w:rPr>
          <w:rFonts w:eastAsia="Times New Roman"/>
          <w:szCs w:val="24"/>
          <w:lang w:eastAsia="ru-RU"/>
        </w:rPr>
        <w:t>‒</w:t>
      </w:r>
      <w:r w:rsidRPr="00C37E76">
        <w:rPr>
          <w:rFonts w:eastAsia="Times New Roman"/>
          <w:szCs w:val="24"/>
          <w:lang w:eastAsia="ru-RU"/>
        </w:rPr>
        <w:t>8</w:t>
      </w:r>
      <w:r w:rsidR="004204B1">
        <w:rPr>
          <w:rFonts w:eastAsia="Times New Roman"/>
          <w:szCs w:val="24"/>
          <w:lang w:eastAsia="ru-RU"/>
        </w:rPr>
        <w:t>-й</w:t>
      </w:r>
      <w:r w:rsidRPr="00C37E76">
        <w:rPr>
          <w:rFonts w:eastAsia="Times New Roman"/>
          <w:szCs w:val="24"/>
          <w:lang w:eastAsia="ru-RU"/>
        </w:rPr>
        <w:t xml:space="preserve"> курсы:</w:t>
      </w:r>
    </w:p>
    <w:p w:rsidR="000546DA" w:rsidRPr="00C37E76" w:rsidRDefault="000546DA" w:rsidP="002F2D5C">
      <w:pPr>
        <w:numPr>
          <w:ilvl w:val="1"/>
          <w:numId w:val="16"/>
        </w:numPr>
        <w:spacing w:before="0" w:after="0"/>
        <w:contextualSpacing/>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4, 8, 11</w:t>
      </w:r>
      <w:r w:rsidR="004204B1">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22</w:t>
      </w:r>
      <w:r w:rsidR="004204B1">
        <w:rPr>
          <w:rFonts w:eastAsia="Times New Roman"/>
          <w:szCs w:val="24"/>
          <w:lang w:eastAsia="ru-RU"/>
        </w:rPr>
        <w:t>-й</w:t>
      </w:r>
      <w:r w:rsidRPr="00C37E76">
        <w:rPr>
          <w:rFonts w:eastAsia="Times New Roman"/>
          <w:szCs w:val="24"/>
          <w:lang w:eastAsia="ru-RU"/>
        </w:rPr>
        <w:t xml:space="preserve"> день</w:t>
      </w:r>
      <w:r w:rsidR="004204B1">
        <w:rPr>
          <w:rFonts w:eastAsia="Times New Roman"/>
          <w:szCs w:val="24"/>
          <w:lang w:eastAsia="ru-RU"/>
        </w:rPr>
        <w:t>.</w:t>
      </w:r>
    </w:p>
    <w:p w:rsidR="000546DA" w:rsidRPr="00C37E76" w:rsidRDefault="000546DA" w:rsidP="002F2D5C">
      <w:pPr>
        <w:numPr>
          <w:ilvl w:val="0"/>
          <w:numId w:val="16"/>
        </w:numPr>
        <w:spacing w:before="0" w:after="0"/>
        <w:contextualSpacing/>
        <w:jc w:val="left"/>
        <w:rPr>
          <w:rFonts w:eastAsia="Times New Roman"/>
          <w:szCs w:val="24"/>
          <w:lang w:eastAsia="ru-RU"/>
        </w:rPr>
      </w:pPr>
      <w:r w:rsidRPr="00C37E76">
        <w:rPr>
          <w:rFonts w:eastAsia="Times New Roman"/>
          <w:szCs w:val="24"/>
          <w:lang w:eastAsia="ru-RU"/>
        </w:rPr>
        <w:t>9</w:t>
      </w:r>
      <w:r w:rsidR="004204B1">
        <w:rPr>
          <w:rFonts w:eastAsia="Times New Roman"/>
          <w:szCs w:val="24"/>
          <w:lang w:eastAsia="ru-RU"/>
        </w:rPr>
        <w:t>‒</w:t>
      </w:r>
      <w:r w:rsidRPr="00C37E76">
        <w:rPr>
          <w:rFonts w:eastAsia="Times New Roman"/>
          <w:szCs w:val="24"/>
          <w:lang w:eastAsia="ru-RU"/>
        </w:rPr>
        <w:t>11</w:t>
      </w:r>
      <w:r w:rsidR="004204B1">
        <w:rPr>
          <w:rFonts w:eastAsia="Times New Roman"/>
          <w:szCs w:val="24"/>
          <w:lang w:eastAsia="ru-RU"/>
        </w:rPr>
        <w:t>-й</w:t>
      </w:r>
      <w:r w:rsidRPr="00C37E76">
        <w:rPr>
          <w:rFonts w:eastAsia="Times New Roman"/>
          <w:szCs w:val="24"/>
          <w:lang w:eastAsia="ru-RU"/>
        </w:rPr>
        <w:t xml:space="preserve"> курсы:</w:t>
      </w:r>
    </w:p>
    <w:p w:rsidR="000546DA" w:rsidRPr="00C37E76" w:rsidRDefault="000546DA" w:rsidP="002F2D5C">
      <w:pPr>
        <w:numPr>
          <w:ilvl w:val="1"/>
          <w:numId w:val="16"/>
        </w:numPr>
        <w:spacing w:before="0" w:after="0"/>
        <w:contextualSpacing/>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8, 15, 22</w:t>
      </w:r>
      <w:r w:rsidR="004204B1">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36</w:t>
      </w:r>
      <w:r w:rsidR="004204B1">
        <w:rPr>
          <w:rFonts w:eastAsia="Times New Roman"/>
          <w:szCs w:val="24"/>
          <w:lang w:eastAsia="ru-RU"/>
        </w:rPr>
        <w:t>-й</w:t>
      </w:r>
      <w:r w:rsidRPr="00C37E76">
        <w:rPr>
          <w:rFonts w:eastAsia="Times New Roman"/>
          <w:szCs w:val="24"/>
          <w:lang w:eastAsia="ru-RU"/>
        </w:rPr>
        <w:t xml:space="preserve"> день</w:t>
      </w:r>
      <w:r w:rsidR="004204B1">
        <w:rPr>
          <w:rFonts w:eastAsia="Times New Roman"/>
          <w:szCs w:val="24"/>
          <w:lang w:eastAsia="ru-RU"/>
        </w:rPr>
        <w:t>.</w:t>
      </w:r>
    </w:p>
    <w:p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Vel</w:t>
      </w:r>
      <w:r w:rsidR="004204B1">
        <w:rPr>
          <w:rFonts w:eastAsia="Times New Roman"/>
          <w:b/>
          <w:szCs w:val="24"/>
          <w:lang w:eastAsia="ru-RU"/>
        </w:rPr>
        <w:t xml:space="preserve"> </w:t>
      </w:r>
      <w:r w:rsidRPr="00C37E76">
        <w:rPr>
          <w:rFonts w:eastAsia="Times New Roman"/>
          <w:b/>
          <w:szCs w:val="24"/>
          <w:lang w:eastAsia="ru-RU"/>
        </w:rPr>
        <w:t>+</w:t>
      </w:r>
      <w:r w:rsidR="004204B1">
        <w:rPr>
          <w:rFonts w:eastAsia="Times New Roman"/>
          <w:b/>
          <w:szCs w:val="24"/>
          <w:lang w:eastAsia="ru-RU"/>
        </w:rPr>
        <w:t xml:space="preserve"> </w:t>
      </w:r>
      <w:r w:rsidRPr="00C37E76">
        <w:rPr>
          <w:rFonts w:eastAsia="Times New Roman"/>
          <w:b/>
          <w:szCs w:val="24"/>
          <w:lang w:eastAsia="ru-RU"/>
        </w:rPr>
        <w:t>PLD</w:t>
      </w:r>
    </w:p>
    <w:p w:rsidR="000546DA" w:rsidRPr="00C37E76" w:rsidRDefault="000546DA" w:rsidP="002F2D5C">
      <w:pPr>
        <w:pStyle w:val="a5"/>
        <w:numPr>
          <w:ilvl w:val="0"/>
          <w:numId w:val="29"/>
        </w:numPr>
        <w:spacing w:before="0" w:after="0"/>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4, 8, 11</w:t>
      </w:r>
      <w:r w:rsidR="004204B1">
        <w:rPr>
          <w:rFonts w:eastAsia="Times New Roman"/>
          <w:szCs w:val="24"/>
          <w:lang w:eastAsia="ru-RU"/>
        </w:rPr>
        <w:t>-й</w:t>
      </w:r>
    </w:p>
    <w:p w:rsidR="000546DA" w:rsidRPr="00C37E76" w:rsidRDefault="000546DA" w:rsidP="002F2D5C">
      <w:pPr>
        <w:pStyle w:val="a5"/>
        <w:numPr>
          <w:ilvl w:val="0"/>
          <w:numId w:val="29"/>
        </w:numPr>
        <w:spacing w:before="0" w:after="0"/>
        <w:jc w:val="left"/>
        <w:rPr>
          <w:rFonts w:eastAsia="Times New Roman"/>
          <w:szCs w:val="24"/>
          <w:lang w:eastAsia="ru-RU"/>
        </w:rPr>
      </w:pPr>
      <w:r>
        <w:rPr>
          <w:rFonts w:eastAsia="Times New Roman"/>
          <w:szCs w:val="24"/>
          <w:lang w:eastAsia="ru-RU"/>
        </w:rPr>
        <w:t>Д</w:t>
      </w:r>
      <w:r w:rsidRPr="00C37E76">
        <w:rPr>
          <w:rFonts w:eastAsia="Times New Roman"/>
          <w:szCs w:val="24"/>
          <w:lang w:eastAsia="ru-RU"/>
        </w:rPr>
        <w:t>оксорубицин</w:t>
      </w:r>
      <w:r>
        <w:rPr>
          <w:rFonts w:eastAsia="Times New Roman"/>
          <w:szCs w:val="24"/>
          <w:lang w:eastAsia="ru-RU"/>
        </w:rPr>
        <w:t>** (пегилированный, липосомальный)</w:t>
      </w:r>
      <w:r w:rsidRPr="00C37E76">
        <w:rPr>
          <w:rFonts w:eastAsia="Times New Roman"/>
          <w:szCs w:val="24"/>
          <w:lang w:eastAsia="ru-RU"/>
        </w:rPr>
        <w:t xml:space="preserve"> 30 мг/м</w:t>
      </w:r>
      <w:r w:rsidRPr="00C37E76">
        <w:rPr>
          <w:rFonts w:eastAsia="Times New Roman"/>
          <w:szCs w:val="24"/>
          <w:vertAlign w:val="superscript"/>
          <w:lang w:eastAsia="ru-RU"/>
        </w:rPr>
        <w:t>2</w:t>
      </w:r>
      <w:r w:rsidRPr="00C37E76">
        <w:rPr>
          <w:rFonts w:eastAsia="Times New Roman"/>
          <w:szCs w:val="24"/>
          <w:lang w:eastAsia="ru-RU"/>
        </w:rPr>
        <w:t xml:space="preserve"> в/в, день 4</w:t>
      </w:r>
      <w:r w:rsidR="004204B1">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22</w:t>
      </w:r>
      <w:r w:rsidR="004204B1">
        <w:rPr>
          <w:rFonts w:eastAsia="Times New Roman"/>
          <w:szCs w:val="24"/>
          <w:lang w:eastAsia="ru-RU"/>
        </w:rPr>
        <w:t>-й</w:t>
      </w:r>
      <w:r w:rsidRPr="00C37E76">
        <w:rPr>
          <w:rFonts w:eastAsia="Times New Roman"/>
          <w:szCs w:val="24"/>
          <w:lang w:eastAsia="ru-RU"/>
        </w:rPr>
        <w:t xml:space="preserve"> день</w:t>
      </w:r>
      <w:r w:rsidR="004204B1">
        <w:rPr>
          <w:rFonts w:eastAsia="Times New Roman"/>
          <w:szCs w:val="24"/>
          <w:lang w:eastAsia="ru-RU"/>
        </w:rPr>
        <w:t>.</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Проводят 8 курсов</w:t>
      </w:r>
      <w:r w:rsidR="004204B1">
        <w:rPr>
          <w:rFonts w:eastAsia="Times New Roman"/>
          <w:szCs w:val="24"/>
          <w:lang w:eastAsia="ru-RU"/>
        </w:rPr>
        <w:t>.</w:t>
      </w:r>
    </w:p>
    <w:p w:rsidR="000546DA" w:rsidRPr="00C37E76" w:rsidRDefault="000546DA" w:rsidP="00131E36">
      <w:pPr>
        <w:spacing w:before="0" w:after="0"/>
        <w:contextualSpacing/>
        <w:rPr>
          <w:rFonts w:eastAsia="Times New Roman"/>
          <w:b/>
          <w:szCs w:val="24"/>
          <w:u w:val="single"/>
          <w:lang w:eastAsia="ru-RU"/>
        </w:rPr>
      </w:pPr>
    </w:p>
    <w:p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VCD с непрерывным приемом циклофосфамида</w:t>
      </w:r>
    </w:p>
    <w:p w:rsidR="000546DA" w:rsidRPr="00C37E76" w:rsidRDefault="000546DA" w:rsidP="002F2D5C">
      <w:pPr>
        <w:numPr>
          <w:ilvl w:val="0"/>
          <w:numId w:val="17"/>
        </w:numPr>
        <w:spacing w:before="0" w:after="0"/>
        <w:contextualSpacing/>
        <w:jc w:val="left"/>
        <w:rPr>
          <w:rFonts w:eastAsia="Times New Roman"/>
          <w:szCs w:val="24"/>
          <w:lang w:eastAsia="ru-RU"/>
        </w:rPr>
      </w:pPr>
      <w:r w:rsidRPr="00C37E76">
        <w:rPr>
          <w:rFonts w:eastAsia="Times New Roman"/>
          <w:szCs w:val="24"/>
          <w:lang w:eastAsia="ru-RU"/>
        </w:rPr>
        <w:t>1</w:t>
      </w:r>
      <w:r w:rsidR="004204B1">
        <w:rPr>
          <w:rFonts w:eastAsia="Times New Roman"/>
          <w:szCs w:val="24"/>
          <w:lang w:eastAsia="ru-RU"/>
        </w:rPr>
        <w:t>‒</w:t>
      </w:r>
      <w:r w:rsidRPr="00C37E76">
        <w:rPr>
          <w:rFonts w:eastAsia="Times New Roman"/>
          <w:szCs w:val="24"/>
          <w:lang w:eastAsia="ru-RU"/>
        </w:rPr>
        <w:t>8</w:t>
      </w:r>
      <w:r w:rsidR="004204B1">
        <w:rPr>
          <w:rFonts w:eastAsia="Times New Roman"/>
          <w:szCs w:val="24"/>
          <w:lang w:eastAsia="ru-RU"/>
        </w:rPr>
        <w:t>-й</w:t>
      </w:r>
      <w:r w:rsidRPr="00C37E76">
        <w:rPr>
          <w:rFonts w:eastAsia="Times New Roman"/>
          <w:szCs w:val="24"/>
          <w:lang w:eastAsia="ru-RU"/>
        </w:rPr>
        <w:t xml:space="preserve"> курсы:</w:t>
      </w:r>
    </w:p>
    <w:p w:rsidR="000546DA" w:rsidRPr="00C37E76" w:rsidRDefault="000546DA" w:rsidP="002F2D5C">
      <w:pPr>
        <w:numPr>
          <w:ilvl w:val="1"/>
          <w:numId w:val="17"/>
        </w:numPr>
        <w:spacing w:before="0" w:after="0"/>
        <w:contextualSpacing/>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4, 8, 11</w:t>
      </w:r>
      <w:r w:rsidR="004204B1">
        <w:rPr>
          <w:rFonts w:eastAsia="Times New Roman"/>
          <w:szCs w:val="24"/>
          <w:lang w:eastAsia="ru-RU"/>
        </w:rPr>
        <w:t>-й</w:t>
      </w:r>
    </w:p>
    <w:p w:rsidR="000546DA" w:rsidRPr="00C37E76" w:rsidRDefault="000546DA" w:rsidP="002F2D5C">
      <w:pPr>
        <w:numPr>
          <w:ilvl w:val="1"/>
          <w:numId w:val="17"/>
        </w:numPr>
        <w:spacing w:before="0" w:after="0"/>
        <w:contextualSpacing/>
        <w:jc w:val="left"/>
        <w:rPr>
          <w:rFonts w:eastAsia="Times New Roman"/>
          <w:szCs w:val="24"/>
          <w:lang w:eastAsia="ru-RU"/>
        </w:rPr>
      </w:pPr>
      <w:r w:rsidRPr="00C37E76">
        <w:rPr>
          <w:rFonts w:eastAsia="Times New Roman"/>
          <w:szCs w:val="24"/>
          <w:lang w:eastAsia="ru-RU"/>
        </w:rPr>
        <w:t>Циклофосфамид</w:t>
      </w:r>
      <w:r>
        <w:rPr>
          <w:rFonts w:eastAsia="Times New Roman"/>
          <w:szCs w:val="24"/>
          <w:lang w:eastAsia="ru-RU"/>
        </w:rPr>
        <w:t>**</w:t>
      </w:r>
      <w:r w:rsidRPr="00C37E76">
        <w:rPr>
          <w:rFonts w:eastAsia="Times New Roman"/>
          <w:szCs w:val="24"/>
          <w:lang w:eastAsia="ru-RU"/>
        </w:rPr>
        <w:t xml:space="preserve"> 50 мг внутрь, дни 1</w:t>
      </w:r>
      <w:r w:rsidR="004204B1">
        <w:rPr>
          <w:rFonts w:eastAsia="Times New Roman"/>
          <w:szCs w:val="24"/>
          <w:lang w:eastAsia="ru-RU"/>
        </w:rPr>
        <w:t>‒</w:t>
      </w:r>
      <w:r w:rsidRPr="00C37E76">
        <w:rPr>
          <w:rFonts w:eastAsia="Times New Roman"/>
          <w:szCs w:val="24"/>
          <w:lang w:eastAsia="ru-RU"/>
        </w:rPr>
        <w:t>21</w:t>
      </w:r>
      <w:r w:rsidR="004204B1">
        <w:rPr>
          <w:rFonts w:eastAsia="Times New Roman"/>
          <w:szCs w:val="24"/>
          <w:lang w:eastAsia="ru-RU"/>
        </w:rPr>
        <w:t>-й</w:t>
      </w:r>
    </w:p>
    <w:p w:rsidR="000546DA" w:rsidRPr="00C37E76" w:rsidRDefault="000546DA" w:rsidP="002F2D5C">
      <w:pPr>
        <w:numPr>
          <w:ilvl w:val="1"/>
          <w:numId w:val="17"/>
        </w:numPr>
        <w:spacing w:before="0" w:after="0"/>
        <w:contextualSpacing/>
        <w:jc w:val="left"/>
        <w:rPr>
          <w:rFonts w:eastAsia="Times New Roman"/>
          <w:szCs w:val="24"/>
          <w:lang w:eastAsia="ru-RU"/>
        </w:rPr>
      </w:pPr>
      <w:r w:rsidRPr="00C37E76">
        <w:rPr>
          <w:rFonts w:eastAsia="Times New Roman"/>
          <w:szCs w:val="24"/>
          <w:lang w:eastAsia="ru-RU"/>
        </w:rPr>
        <w:t>Дексаметазон</w:t>
      </w:r>
      <w:r>
        <w:rPr>
          <w:rFonts w:eastAsia="Times New Roman"/>
          <w:szCs w:val="24"/>
          <w:lang w:eastAsia="ru-RU"/>
        </w:rPr>
        <w:t>**</w:t>
      </w:r>
      <w:r w:rsidRPr="00C37E76">
        <w:rPr>
          <w:rFonts w:eastAsia="Times New Roman"/>
          <w:szCs w:val="24"/>
          <w:lang w:eastAsia="ru-RU"/>
        </w:rPr>
        <w:t xml:space="preserve"> 20 мг внутрь, дни 1, 2, 4, 5, 8, 9, 11, 12</w:t>
      </w:r>
      <w:r w:rsidR="004204B1">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22</w:t>
      </w:r>
      <w:r w:rsidR="004204B1">
        <w:rPr>
          <w:rFonts w:eastAsia="Times New Roman"/>
          <w:szCs w:val="24"/>
          <w:lang w:eastAsia="ru-RU"/>
        </w:rPr>
        <w:t>-й</w:t>
      </w:r>
      <w:r w:rsidRPr="00C37E76">
        <w:rPr>
          <w:rFonts w:eastAsia="Times New Roman"/>
          <w:szCs w:val="24"/>
          <w:lang w:eastAsia="ru-RU"/>
        </w:rPr>
        <w:t xml:space="preserve"> день</w:t>
      </w:r>
      <w:r w:rsidR="004204B1">
        <w:rPr>
          <w:rFonts w:eastAsia="Times New Roman"/>
          <w:szCs w:val="24"/>
          <w:lang w:eastAsia="ru-RU"/>
        </w:rPr>
        <w:t>.</w:t>
      </w:r>
    </w:p>
    <w:p w:rsidR="000546DA" w:rsidRPr="00C37E76" w:rsidRDefault="000546DA" w:rsidP="002F2D5C">
      <w:pPr>
        <w:numPr>
          <w:ilvl w:val="0"/>
          <w:numId w:val="17"/>
        </w:numPr>
        <w:spacing w:before="0" w:after="0"/>
        <w:contextualSpacing/>
        <w:jc w:val="left"/>
        <w:rPr>
          <w:rFonts w:eastAsia="Times New Roman"/>
          <w:szCs w:val="24"/>
          <w:lang w:eastAsia="ru-RU"/>
        </w:rPr>
      </w:pPr>
      <w:r w:rsidRPr="00C37E76">
        <w:rPr>
          <w:rFonts w:eastAsia="Times New Roman"/>
          <w:szCs w:val="24"/>
          <w:lang w:eastAsia="ru-RU"/>
        </w:rPr>
        <w:lastRenderedPageBreak/>
        <w:t>9</w:t>
      </w:r>
      <w:r w:rsidR="004204B1">
        <w:rPr>
          <w:rFonts w:eastAsia="Times New Roman"/>
          <w:szCs w:val="24"/>
          <w:lang w:eastAsia="ru-RU"/>
        </w:rPr>
        <w:t>‒</w:t>
      </w:r>
      <w:r w:rsidRPr="00C37E76">
        <w:rPr>
          <w:rFonts w:eastAsia="Times New Roman"/>
          <w:szCs w:val="24"/>
          <w:lang w:eastAsia="ru-RU"/>
        </w:rPr>
        <w:t>11</w:t>
      </w:r>
      <w:r w:rsidR="004204B1">
        <w:rPr>
          <w:rFonts w:eastAsia="Times New Roman"/>
          <w:szCs w:val="24"/>
          <w:lang w:eastAsia="ru-RU"/>
        </w:rPr>
        <w:t>-й</w:t>
      </w:r>
      <w:r w:rsidRPr="00C37E76">
        <w:rPr>
          <w:rFonts w:eastAsia="Times New Roman"/>
          <w:szCs w:val="24"/>
          <w:lang w:eastAsia="ru-RU"/>
        </w:rPr>
        <w:t xml:space="preserve"> курсы:</w:t>
      </w:r>
    </w:p>
    <w:p w:rsidR="000546DA" w:rsidRPr="00C37E76" w:rsidRDefault="000546DA" w:rsidP="002F2D5C">
      <w:pPr>
        <w:numPr>
          <w:ilvl w:val="1"/>
          <w:numId w:val="17"/>
        </w:numPr>
        <w:spacing w:before="0" w:after="0"/>
        <w:contextualSpacing/>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8, 15, 22</w:t>
      </w:r>
      <w:r w:rsidR="004204B1">
        <w:rPr>
          <w:rFonts w:eastAsia="Times New Roman"/>
          <w:szCs w:val="24"/>
          <w:lang w:eastAsia="ru-RU"/>
        </w:rPr>
        <w:t>-й</w:t>
      </w:r>
    </w:p>
    <w:p w:rsidR="000546DA" w:rsidRPr="00C37E76" w:rsidRDefault="000546DA" w:rsidP="002F2D5C">
      <w:pPr>
        <w:numPr>
          <w:ilvl w:val="1"/>
          <w:numId w:val="17"/>
        </w:numPr>
        <w:spacing w:before="0" w:after="0"/>
        <w:contextualSpacing/>
        <w:jc w:val="left"/>
        <w:rPr>
          <w:rFonts w:eastAsia="Times New Roman"/>
          <w:szCs w:val="24"/>
          <w:lang w:eastAsia="ru-RU"/>
        </w:rPr>
      </w:pPr>
      <w:r w:rsidRPr="00C37E76">
        <w:rPr>
          <w:rFonts w:eastAsia="Times New Roman"/>
          <w:szCs w:val="24"/>
          <w:lang w:eastAsia="ru-RU"/>
        </w:rPr>
        <w:t>Циклофосфамид</w:t>
      </w:r>
      <w:r>
        <w:rPr>
          <w:rFonts w:eastAsia="Times New Roman"/>
          <w:szCs w:val="24"/>
          <w:lang w:eastAsia="ru-RU"/>
        </w:rPr>
        <w:t>**</w:t>
      </w:r>
      <w:r w:rsidRPr="00C37E76">
        <w:rPr>
          <w:rFonts w:eastAsia="Times New Roman"/>
          <w:szCs w:val="24"/>
          <w:lang w:eastAsia="ru-RU"/>
        </w:rPr>
        <w:t xml:space="preserve"> 50 мг внутрь, дни 1</w:t>
      </w:r>
      <w:r w:rsidR="004204B1">
        <w:rPr>
          <w:rFonts w:eastAsia="Times New Roman"/>
          <w:szCs w:val="24"/>
          <w:lang w:eastAsia="ru-RU"/>
        </w:rPr>
        <w:t>‒</w:t>
      </w:r>
      <w:r w:rsidRPr="00C37E76">
        <w:rPr>
          <w:rFonts w:eastAsia="Times New Roman"/>
          <w:szCs w:val="24"/>
          <w:lang w:eastAsia="ru-RU"/>
        </w:rPr>
        <w:t>35</w:t>
      </w:r>
      <w:r w:rsidR="004204B1">
        <w:rPr>
          <w:rFonts w:eastAsia="Times New Roman"/>
          <w:szCs w:val="24"/>
          <w:lang w:eastAsia="ru-RU"/>
        </w:rPr>
        <w:t>-й</w:t>
      </w:r>
      <w:r w:rsidRPr="00C37E76">
        <w:rPr>
          <w:rFonts w:eastAsia="Times New Roman"/>
          <w:szCs w:val="24"/>
          <w:lang w:eastAsia="ru-RU"/>
        </w:rPr>
        <w:t xml:space="preserve"> </w:t>
      </w:r>
    </w:p>
    <w:p w:rsidR="000546DA" w:rsidRPr="00C37E76" w:rsidRDefault="000546DA" w:rsidP="002F2D5C">
      <w:pPr>
        <w:numPr>
          <w:ilvl w:val="1"/>
          <w:numId w:val="17"/>
        </w:numPr>
        <w:spacing w:before="0" w:after="0"/>
        <w:contextualSpacing/>
        <w:jc w:val="left"/>
        <w:rPr>
          <w:rFonts w:eastAsia="Times New Roman"/>
          <w:szCs w:val="24"/>
          <w:lang w:eastAsia="ru-RU"/>
        </w:rPr>
      </w:pPr>
      <w:r w:rsidRPr="00C37E76">
        <w:rPr>
          <w:rFonts w:eastAsia="Times New Roman"/>
          <w:szCs w:val="24"/>
          <w:lang w:eastAsia="ru-RU"/>
        </w:rPr>
        <w:t>Дексаметазон</w:t>
      </w:r>
      <w:r>
        <w:rPr>
          <w:rFonts w:eastAsia="Times New Roman"/>
          <w:szCs w:val="24"/>
          <w:lang w:eastAsia="ru-RU"/>
        </w:rPr>
        <w:t>**</w:t>
      </w:r>
      <w:r w:rsidRPr="00C37E76">
        <w:rPr>
          <w:rFonts w:eastAsia="Times New Roman"/>
          <w:szCs w:val="24"/>
          <w:lang w:eastAsia="ru-RU"/>
        </w:rPr>
        <w:t xml:space="preserve"> 20 мг внутрь, дни 1, 2, 8, 9, 15, 16, 22, 23</w:t>
      </w:r>
      <w:r w:rsidR="004204B1">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36</w:t>
      </w:r>
      <w:r w:rsidR="004204B1">
        <w:rPr>
          <w:rFonts w:eastAsia="Times New Roman"/>
          <w:szCs w:val="24"/>
          <w:lang w:eastAsia="ru-RU"/>
        </w:rPr>
        <w:t>-й</w:t>
      </w:r>
      <w:r w:rsidRPr="00C37E76">
        <w:rPr>
          <w:rFonts w:eastAsia="Times New Roman"/>
          <w:szCs w:val="24"/>
          <w:lang w:eastAsia="ru-RU"/>
        </w:rPr>
        <w:t xml:space="preserve"> день</w:t>
      </w:r>
      <w:r w:rsidR="004204B1">
        <w:rPr>
          <w:rFonts w:eastAsia="Times New Roman"/>
          <w:szCs w:val="24"/>
          <w:lang w:eastAsia="ru-RU"/>
        </w:rPr>
        <w:t>.</w:t>
      </w:r>
    </w:p>
    <w:p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CVD</w:t>
      </w:r>
    </w:p>
    <w:p w:rsidR="000546DA" w:rsidRPr="00C37E76" w:rsidRDefault="000546DA" w:rsidP="002F2D5C">
      <w:pPr>
        <w:pStyle w:val="a5"/>
        <w:numPr>
          <w:ilvl w:val="0"/>
          <w:numId w:val="30"/>
        </w:numPr>
        <w:spacing w:before="0" w:after="0"/>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4, 8, 11</w:t>
      </w:r>
      <w:r w:rsidR="004204B1">
        <w:rPr>
          <w:rFonts w:eastAsia="Times New Roman"/>
          <w:szCs w:val="24"/>
          <w:lang w:eastAsia="ru-RU"/>
        </w:rPr>
        <w:t>-й</w:t>
      </w:r>
    </w:p>
    <w:p w:rsidR="000546DA" w:rsidRPr="00C37E76" w:rsidRDefault="000546DA" w:rsidP="002F2D5C">
      <w:pPr>
        <w:pStyle w:val="a5"/>
        <w:numPr>
          <w:ilvl w:val="0"/>
          <w:numId w:val="30"/>
        </w:numPr>
        <w:spacing w:before="0" w:after="0"/>
        <w:jc w:val="left"/>
        <w:rPr>
          <w:rFonts w:eastAsia="Times New Roman"/>
          <w:szCs w:val="24"/>
          <w:lang w:eastAsia="ru-RU"/>
        </w:rPr>
      </w:pPr>
      <w:r w:rsidRPr="00C37E76">
        <w:rPr>
          <w:rFonts w:eastAsia="Times New Roman"/>
          <w:szCs w:val="24"/>
          <w:lang w:eastAsia="ru-RU"/>
        </w:rPr>
        <w:t>Циклофосфамид</w:t>
      </w:r>
      <w:r>
        <w:rPr>
          <w:rFonts w:eastAsia="Times New Roman"/>
          <w:szCs w:val="24"/>
          <w:lang w:eastAsia="ru-RU"/>
        </w:rPr>
        <w:t>**</w:t>
      </w:r>
      <w:r w:rsidRPr="00C37E76">
        <w:rPr>
          <w:rFonts w:eastAsia="Times New Roman"/>
          <w:szCs w:val="24"/>
          <w:lang w:eastAsia="ru-RU"/>
        </w:rPr>
        <w:t xml:space="preserve"> 500 мг внутрь, дни 1, 8, 15</w:t>
      </w:r>
      <w:r w:rsidR="004204B1">
        <w:rPr>
          <w:rFonts w:eastAsia="Times New Roman"/>
          <w:szCs w:val="24"/>
          <w:lang w:eastAsia="ru-RU"/>
        </w:rPr>
        <w:t>-й</w:t>
      </w:r>
    </w:p>
    <w:p w:rsidR="000546DA" w:rsidRPr="00C37E76" w:rsidRDefault="000546DA" w:rsidP="002F2D5C">
      <w:pPr>
        <w:pStyle w:val="a5"/>
        <w:numPr>
          <w:ilvl w:val="0"/>
          <w:numId w:val="30"/>
        </w:numPr>
        <w:spacing w:before="0" w:after="0"/>
        <w:jc w:val="left"/>
        <w:rPr>
          <w:rFonts w:eastAsia="Times New Roman"/>
          <w:szCs w:val="24"/>
          <w:lang w:eastAsia="ru-RU"/>
        </w:rPr>
      </w:pPr>
      <w:r w:rsidRPr="00C37E76">
        <w:rPr>
          <w:rFonts w:eastAsia="Times New Roman"/>
          <w:szCs w:val="24"/>
          <w:lang w:eastAsia="ru-RU"/>
        </w:rPr>
        <w:t>Дексаметазон</w:t>
      </w:r>
      <w:r>
        <w:rPr>
          <w:rFonts w:eastAsia="Times New Roman"/>
          <w:szCs w:val="24"/>
          <w:lang w:eastAsia="ru-RU"/>
        </w:rPr>
        <w:t>**</w:t>
      </w:r>
      <w:r w:rsidRPr="00C37E76">
        <w:rPr>
          <w:rFonts w:eastAsia="Times New Roman"/>
          <w:szCs w:val="24"/>
          <w:lang w:eastAsia="ru-RU"/>
        </w:rPr>
        <w:t xml:space="preserve"> 20 мг внутрь, дни 1, 2, 4, 5, 8, 9, 11, 12</w:t>
      </w:r>
      <w:r w:rsidR="004204B1">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22</w:t>
      </w:r>
      <w:r w:rsidR="004204B1">
        <w:rPr>
          <w:rFonts w:eastAsia="Times New Roman"/>
          <w:szCs w:val="24"/>
          <w:lang w:eastAsia="ru-RU"/>
        </w:rPr>
        <w:t>-й</w:t>
      </w:r>
      <w:r w:rsidRPr="00C37E76">
        <w:rPr>
          <w:rFonts w:eastAsia="Times New Roman"/>
          <w:szCs w:val="24"/>
          <w:lang w:eastAsia="ru-RU"/>
        </w:rPr>
        <w:t xml:space="preserve"> день</w:t>
      </w:r>
      <w:r w:rsidR="004204B1">
        <w:rPr>
          <w:rFonts w:eastAsia="Times New Roman"/>
          <w:szCs w:val="24"/>
          <w:lang w:eastAsia="ru-RU"/>
        </w:rPr>
        <w:t>.</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Проводят 9 курсов</w:t>
      </w:r>
      <w:r w:rsidR="004204B1">
        <w:rPr>
          <w:rFonts w:eastAsia="Times New Roman"/>
          <w:szCs w:val="24"/>
          <w:lang w:eastAsia="ru-RU"/>
        </w:rPr>
        <w:t>.</w:t>
      </w:r>
    </w:p>
    <w:p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RD</w:t>
      </w:r>
    </w:p>
    <w:p w:rsidR="000546DA" w:rsidRPr="00C37E76" w:rsidRDefault="000546DA" w:rsidP="002F2D5C">
      <w:pPr>
        <w:pStyle w:val="a5"/>
        <w:numPr>
          <w:ilvl w:val="0"/>
          <w:numId w:val="31"/>
        </w:numPr>
        <w:spacing w:before="0" w:after="0"/>
        <w:jc w:val="left"/>
        <w:rPr>
          <w:rFonts w:eastAsia="Times New Roman"/>
          <w:szCs w:val="24"/>
          <w:lang w:eastAsia="ru-RU"/>
        </w:rPr>
      </w:pPr>
      <w:r w:rsidRPr="00C37E76">
        <w:rPr>
          <w:rFonts w:eastAsia="Times New Roman"/>
          <w:szCs w:val="24"/>
          <w:lang w:eastAsia="ru-RU"/>
        </w:rPr>
        <w:t>Леналидомид</w:t>
      </w:r>
      <w:r>
        <w:rPr>
          <w:rFonts w:eastAsia="Times New Roman"/>
          <w:szCs w:val="24"/>
          <w:lang w:eastAsia="ru-RU"/>
        </w:rPr>
        <w:t>**</w:t>
      </w:r>
      <w:r w:rsidRPr="00C37E76">
        <w:rPr>
          <w:rFonts w:eastAsia="Times New Roman"/>
          <w:szCs w:val="24"/>
          <w:lang w:eastAsia="ru-RU"/>
        </w:rPr>
        <w:t xml:space="preserve"> 25 мг внутрь, дни 1</w:t>
      </w:r>
      <w:r w:rsidR="004204B1">
        <w:rPr>
          <w:rFonts w:eastAsia="Times New Roman"/>
          <w:szCs w:val="24"/>
          <w:lang w:eastAsia="ru-RU"/>
        </w:rPr>
        <w:t>‒</w:t>
      </w:r>
      <w:r w:rsidRPr="00C37E76">
        <w:rPr>
          <w:rFonts w:eastAsia="Times New Roman"/>
          <w:szCs w:val="24"/>
          <w:lang w:eastAsia="ru-RU"/>
        </w:rPr>
        <w:t>21</w:t>
      </w:r>
      <w:r w:rsidR="004204B1">
        <w:rPr>
          <w:rFonts w:eastAsia="Times New Roman"/>
          <w:szCs w:val="24"/>
          <w:lang w:eastAsia="ru-RU"/>
        </w:rPr>
        <w:t>-й</w:t>
      </w:r>
    </w:p>
    <w:p w:rsidR="000546DA" w:rsidRPr="00C37E76" w:rsidRDefault="000546DA" w:rsidP="002F2D5C">
      <w:pPr>
        <w:pStyle w:val="a5"/>
        <w:numPr>
          <w:ilvl w:val="0"/>
          <w:numId w:val="31"/>
        </w:numPr>
        <w:spacing w:before="0" w:after="0"/>
        <w:jc w:val="left"/>
        <w:rPr>
          <w:rFonts w:eastAsia="Times New Roman"/>
          <w:szCs w:val="24"/>
          <w:lang w:eastAsia="ru-RU"/>
        </w:rPr>
      </w:pPr>
      <w:r w:rsidRPr="00C37E76">
        <w:rPr>
          <w:rFonts w:eastAsia="Times New Roman"/>
          <w:szCs w:val="24"/>
          <w:lang w:eastAsia="ru-RU"/>
        </w:rPr>
        <w:t>Дексаметазон</w:t>
      </w:r>
      <w:r>
        <w:rPr>
          <w:rFonts w:eastAsia="Times New Roman"/>
          <w:szCs w:val="24"/>
          <w:lang w:eastAsia="ru-RU"/>
        </w:rPr>
        <w:t>**</w:t>
      </w:r>
      <w:r w:rsidRPr="00C37E76">
        <w:rPr>
          <w:rFonts w:eastAsia="Times New Roman"/>
          <w:szCs w:val="24"/>
          <w:lang w:eastAsia="ru-RU"/>
        </w:rPr>
        <w:t xml:space="preserve"> 40 мг внутрь, 1</w:t>
      </w:r>
      <w:r w:rsidR="004204B1">
        <w:rPr>
          <w:rFonts w:eastAsia="Times New Roman"/>
          <w:szCs w:val="24"/>
          <w:lang w:eastAsia="ru-RU"/>
        </w:rPr>
        <w:t>‒</w:t>
      </w:r>
      <w:r w:rsidRPr="00C37E76">
        <w:rPr>
          <w:rFonts w:eastAsia="Times New Roman"/>
          <w:szCs w:val="24"/>
          <w:lang w:eastAsia="ru-RU"/>
        </w:rPr>
        <w:t>4</w:t>
      </w:r>
      <w:r w:rsidR="004204B1">
        <w:rPr>
          <w:rFonts w:eastAsia="Times New Roman"/>
          <w:szCs w:val="24"/>
          <w:lang w:eastAsia="ru-RU"/>
        </w:rPr>
        <w:t>-й</w:t>
      </w:r>
      <w:r w:rsidRPr="00C37E76">
        <w:rPr>
          <w:rFonts w:eastAsia="Times New Roman"/>
          <w:szCs w:val="24"/>
          <w:lang w:eastAsia="ru-RU"/>
        </w:rPr>
        <w:t xml:space="preserve"> циклы – дни 1</w:t>
      </w:r>
      <w:r w:rsidR="004204B1">
        <w:rPr>
          <w:rFonts w:eastAsia="Times New Roman"/>
          <w:szCs w:val="24"/>
          <w:lang w:eastAsia="ru-RU"/>
        </w:rPr>
        <w:t>‒</w:t>
      </w:r>
      <w:r w:rsidRPr="00C37E76">
        <w:rPr>
          <w:rFonts w:eastAsia="Times New Roman"/>
          <w:szCs w:val="24"/>
          <w:lang w:eastAsia="ru-RU"/>
        </w:rPr>
        <w:t>4</w:t>
      </w:r>
      <w:r w:rsidR="004204B1">
        <w:rPr>
          <w:rFonts w:eastAsia="Times New Roman"/>
          <w:szCs w:val="24"/>
          <w:lang w:eastAsia="ru-RU"/>
        </w:rPr>
        <w:t>-й</w:t>
      </w:r>
      <w:r w:rsidRPr="00C37E76">
        <w:rPr>
          <w:rFonts w:eastAsia="Times New Roman"/>
          <w:szCs w:val="24"/>
          <w:lang w:eastAsia="ru-RU"/>
        </w:rPr>
        <w:t>, 9</w:t>
      </w:r>
      <w:r w:rsidR="004204B1">
        <w:rPr>
          <w:rFonts w:eastAsia="Times New Roman"/>
          <w:szCs w:val="24"/>
          <w:lang w:eastAsia="ru-RU"/>
        </w:rPr>
        <w:t>‒</w:t>
      </w:r>
      <w:r w:rsidRPr="00C37E76">
        <w:rPr>
          <w:rFonts w:eastAsia="Times New Roman"/>
          <w:szCs w:val="24"/>
          <w:lang w:eastAsia="ru-RU"/>
        </w:rPr>
        <w:t>12</w:t>
      </w:r>
      <w:r w:rsidR="004204B1">
        <w:rPr>
          <w:rFonts w:eastAsia="Times New Roman"/>
          <w:szCs w:val="24"/>
          <w:lang w:eastAsia="ru-RU"/>
        </w:rPr>
        <w:t>-й</w:t>
      </w:r>
      <w:r w:rsidRPr="00C37E76">
        <w:rPr>
          <w:rFonts w:eastAsia="Times New Roman"/>
          <w:szCs w:val="24"/>
          <w:lang w:eastAsia="ru-RU"/>
        </w:rPr>
        <w:t>, 17</w:t>
      </w:r>
      <w:r w:rsidR="004204B1">
        <w:rPr>
          <w:rFonts w:eastAsia="Times New Roman"/>
          <w:szCs w:val="24"/>
          <w:lang w:eastAsia="ru-RU"/>
        </w:rPr>
        <w:t>‒</w:t>
      </w:r>
      <w:r w:rsidRPr="00C37E76">
        <w:rPr>
          <w:rFonts w:eastAsia="Times New Roman"/>
          <w:szCs w:val="24"/>
          <w:lang w:eastAsia="ru-RU"/>
        </w:rPr>
        <w:t>20</w:t>
      </w:r>
      <w:r w:rsidR="004204B1">
        <w:rPr>
          <w:rFonts w:eastAsia="Times New Roman"/>
          <w:szCs w:val="24"/>
          <w:lang w:eastAsia="ru-RU"/>
        </w:rPr>
        <w:t>-й</w:t>
      </w:r>
      <w:r w:rsidRPr="00C37E76">
        <w:rPr>
          <w:rFonts w:eastAsia="Times New Roman"/>
          <w:szCs w:val="24"/>
          <w:lang w:eastAsia="ru-RU"/>
        </w:rPr>
        <w:t>, далее – только дни 1</w:t>
      </w:r>
      <w:r w:rsidR="004204B1">
        <w:rPr>
          <w:rFonts w:eastAsia="Times New Roman"/>
          <w:szCs w:val="24"/>
          <w:lang w:eastAsia="ru-RU"/>
        </w:rPr>
        <w:t>‒</w:t>
      </w:r>
      <w:r w:rsidRPr="00C37E76">
        <w:rPr>
          <w:rFonts w:eastAsia="Times New Roman"/>
          <w:szCs w:val="24"/>
          <w:lang w:eastAsia="ru-RU"/>
        </w:rPr>
        <w:t>4</w:t>
      </w:r>
      <w:r w:rsidR="004204B1">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29</w:t>
      </w:r>
      <w:r w:rsidR="004204B1">
        <w:rPr>
          <w:rFonts w:eastAsia="Times New Roman"/>
          <w:szCs w:val="24"/>
          <w:lang w:eastAsia="ru-RU"/>
        </w:rPr>
        <w:t>-й</w:t>
      </w:r>
      <w:r w:rsidRPr="00C37E76">
        <w:rPr>
          <w:rFonts w:eastAsia="Times New Roman"/>
          <w:szCs w:val="24"/>
          <w:lang w:eastAsia="ru-RU"/>
        </w:rPr>
        <w:t xml:space="preserve"> день</w:t>
      </w:r>
      <w:r w:rsidR="004204B1">
        <w:rPr>
          <w:rFonts w:eastAsia="Times New Roman"/>
          <w:szCs w:val="24"/>
          <w:lang w:eastAsia="ru-RU"/>
        </w:rPr>
        <w:t>.</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продолжают до прогрессирования или развития неприемлемой токсичности</w:t>
      </w:r>
      <w:r w:rsidR="004204B1">
        <w:rPr>
          <w:rFonts w:eastAsia="Times New Roman"/>
          <w:szCs w:val="24"/>
          <w:lang w:eastAsia="ru-RU"/>
        </w:rPr>
        <w:t>.</w:t>
      </w:r>
    </w:p>
    <w:p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RD модифицированный</w:t>
      </w:r>
    </w:p>
    <w:p w:rsidR="000546DA" w:rsidRPr="00E93D36" w:rsidRDefault="000546DA" w:rsidP="002F2D5C">
      <w:pPr>
        <w:pStyle w:val="a5"/>
        <w:numPr>
          <w:ilvl w:val="0"/>
          <w:numId w:val="32"/>
        </w:numPr>
        <w:spacing w:before="0" w:after="0"/>
        <w:jc w:val="left"/>
        <w:rPr>
          <w:rFonts w:eastAsia="Times New Roman"/>
          <w:szCs w:val="24"/>
          <w:lang w:eastAsia="ru-RU"/>
        </w:rPr>
      </w:pPr>
      <w:r w:rsidRPr="00E93D36">
        <w:rPr>
          <w:rFonts w:eastAsia="Times New Roman"/>
          <w:szCs w:val="24"/>
          <w:lang w:eastAsia="ru-RU"/>
        </w:rPr>
        <w:t>Леналидомид</w:t>
      </w:r>
      <w:r>
        <w:rPr>
          <w:rFonts w:eastAsia="Times New Roman"/>
          <w:szCs w:val="24"/>
          <w:lang w:eastAsia="ru-RU"/>
        </w:rPr>
        <w:t>**</w:t>
      </w:r>
      <w:r w:rsidRPr="00E93D36">
        <w:rPr>
          <w:rFonts w:eastAsia="Times New Roman"/>
          <w:szCs w:val="24"/>
          <w:lang w:eastAsia="ru-RU"/>
        </w:rPr>
        <w:t xml:space="preserve"> 25 мг внутрь, дни 1</w:t>
      </w:r>
      <w:r w:rsidR="004204B1">
        <w:rPr>
          <w:rFonts w:eastAsia="Times New Roman"/>
          <w:szCs w:val="24"/>
          <w:lang w:eastAsia="ru-RU"/>
        </w:rPr>
        <w:t>‒</w:t>
      </w:r>
      <w:r w:rsidRPr="00E93D36">
        <w:rPr>
          <w:rFonts w:eastAsia="Times New Roman"/>
          <w:szCs w:val="24"/>
          <w:lang w:eastAsia="ru-RU"/>
        </w:rPr>
        <w:t>21</w:t>
      </w:r>
      <w:r w:rsidR="004204B1">
        <w:rPr>
          <w:rFonts w:eastAsia="Times New Roman"/>
          <w:szCs w:val="24"/>
          <w:lang w:eastAsia="ru-RU"/>
        </w:rPr>
        <w:t>-й</w:t>
      </w:r>
    </w:p>
    <w:p w:rsidR="000546DA" w:rsidRPr="00E93D36" w:rsidRDefault="000546DA" w:rsidP="002F2D5C">
      <w:pPr>
        <w:pStyle w:val="a5"/>
        <w:numPr>
          <w:ilvl w:val="0"/>
          <w:numId w:val="32"/>
        </w:numPr>
        <w:spacing w:before="0" w:after="0"/>
        <w:jc w:val="left"/>
        <w:rPr>
          <w:rFonts w:eastAsia="Times New Roman"/>
          <w:szCs w:val="24"/>
          <w:lang w:eastAsia="ru-RU"/>
        </w:rPr>
      </w:pPr>
      <w:r w:rsidRPr="00E93D36">
        <w:rPr>
          <w:rFonts w:eastAsia="Times New Roman"/>
          <w:szCs w:val="24"/>
          <w:lang w:eastAsia="ru-RU"/>
        </w:rPr>
        <w:t>Дексаметазон</w:t>
      </w:r>
      <w:r>
        <w:rPr>
          <w:rFonts w:eastAsia="Times New Roman"/>
          <w:szCs w:val="24"/>
          <w:lang w:eastAsia="ru-RU"/>
        </w:rPr>
        <w:t>**</w:t>
      </w:r>
      <w:r w:rsidRPr="00E93D36">
        <w:rPr>
          <w:rFonts w:eastAsia="Times New Roman"/>
          <w:szCs w:val="24"/>
          <w:lang w:eastAsia="ru-RU"/>
        </w:rPr>
        <w:t xml:space="preserve"> 40 мг внутрь, 1</w:t>
      </w:r>
      <w:r w:rsidR="004204B1">
        <w:rPr>
          <w:rFonts w:eastAsia="Times New Roman"/>
          <w:szCs w:val="24"/>
          <w:lang w:eastAsia="ru-RU"/>
        </w:rPr>
        <w:t>‒</w:t>
      </w:r>
      <w:r w:rsidRPr="00E93D36">
        <w:rPr>
          <w:rFonts w:eastAsia="Times New Roman"/>
          <w:szCs w:val="24"/>
          <w:lang w:eastAsia="ru-RU"/>
        </w:rPr>
        <w:t>4</w:t>
      </w:r>
      <w:r w:rsidR="004204B1">
        <w:rPr>
          <w:rFonts w:eastAsia="Times New Roman"/>
          <w:szCs w:val="24"/>
          <w:lang w:eastAsia="ru-RU"/>
        </w:rPr>
        <w:t>-й</w:t>
      </w:r>
      <w:r w:rsidRPr="00E93D36">
        <w:rPr>
          <w:rFonts w:eastAsia="Times New Roman"/>
          <w:szCs w:val="24"/>
          <w:lang w:eastAsia="ru-RU"/>
        </w:rPr>
        <w:t xml:space="preserve"> циклы – дни 1</w:t>
      </w:r>
      <w:r w:rsidR="004204B1">
        <w:rPr>
          <w:rFonts w:eastAsia="Times New Roman"/>
          <w:szCs w:val="24"/>
          <w:lang w:eastAsia="ru-RU"/>
        </w:rPr>
        <w:t>‒</w:t>
      </w:r>
      <w:r w:rsidRPr="00E93D36">
        <w:rPr>
          <w:rFonts w:eastAsia="Times New Roman"/>
          <w:szCs w:val="24"/>
          <w:lang w:eastAsia="ru-RU"/>
        </w:rPr>
        <w:t>4</w:t>
      </w:r>
      <w:r w:rsidR="004204B1">
        <w:rPr>
          <w:rFonts w:eastAsia="Times New Roman"/>
          <w:szCs w:val="24"/>
          <w:lang w:eastAsia="ru-RU"/>
        </w:rPr>
        <w:t>-й</w:t>
      </w:r>
      <w:r w:rsidRPr="00E93D36">
        <w:rPr>
          <w:rFonts w:eastAsia="Times New Roman"/>
          <w:szCs w:val="24"/>
          <w:lang w:eastAsia="ru-RU"/>
        </w:rPr>
        <w:t>, 15</w:t>
      </w:r>
      <w:r w:rsidR="004204B1">
        <w:rPr>
          <w:rFonts w:eastAsia="Times New Roman"/>
          <w:szCs w:val="24"/>
          <w:lang w:eastAsia="ru-RU"/>
        </w:rPr>
        <w:t>‒</w:t>
      </w:r>
      <w:r w:rsidRPr="00E93D36">
        <w:rPr>
          <w:rFonts w:eastAsia="Times New Roman"/>
          <w:szCs w:val="24"/>
          <w:lang w:eastAsia="ru-RU"/>
        </w:rPr>
        <w:t>18</w:t>
      </w:r>
      <w:r w:rsidR="004204B1">
        <w:rPr>
          <w:rFonts w:eastAsia="Times New Roman"/>
          <w:szCs w:val="24"/>
          <w:lang w:eastAsia="ru-RU"/>
        </w:rPr>
        <w:t>-й</w:t>
      </w:r>
      <w:r w:rsidRPr="00E93D36">
        <w:rPr>
          <w:rFonts w:eastAsia="Times New Roman"/>
          <w:szCs w:val="24"/>
          <w:lang w:eastAsia="ru-RU"/>
        </w:rPr>
        <w:t>, далее – только дни 1, 8, 15, 22</w:t>
      </w:r>
      <w:r w:rsidR="004204B1">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29</w:t>
      </w:r>
      <w:r w:rsidR="004204B1">
        <w:rPr>
          <w:rFonts w:eastAsia="Times New Roman"/>
          <w:szCs w:val="24"/>
          <w:lang w:eastAsia="ru-RU"/>
        </w:rPr>
        <w:t>-й</w:t>
      </w:r>
      <w:r w:rsidRPr="00C37E76">
        <w:rPr>
          <w:rFonts w:eastAsia="Times New Roman"/>
          <w:szCs w:val="24"/>
          <w:lang w:eastAsia="ru-RU"/>
        </w:rPr>
        <w:t xml:space="preserve"> день</w:t>
      </w:r>
      <w:r w:rsidR="004204B1">
        <w:rPr>
          <w:rFonts w:eastAsia="Times New Roman"/>
          <w:szCs w:val="24"/>
          <w:lang w:eastAsia="ru-RU"/>
        </w:rPr>
        <w:t>.</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продолжают до прогрессирования или развития неприемлемой токсичности</w:t>
      </w:r>
      <w:r w:rsidR="004204B1">
        <w:rPr>
          <w:rFonts w:eastAsia="Times New Roman"/>
          <w:szCs w:val="24"/>
          <w:lang w:eastAsia="ru-RU"/>
        </w:rPr>
        <w:t>.</w:t>
      </w:r>
    </w:p>
    <w:p w:rsidR="000546DA" w:rsidRPr="00C37E76" w:rsidRDefault="000546DA" w:rsidP="00131E36">
      <w:pPr>
        <w:spacing w:before="0" w:after="0"/>
        <w:contextualSpacing/>
        <w:rPr>
          <w:rFonts w:eastAsia="Times New Roman"/>
          <w:b/>
          <w:szCs w:val="24"/>
        </w:rPr>
      </w:pPr>
      <w:r w:rsidRPr="00C37E76">
        <w:rPr>
          <w:rFonts w:eastAsia="Times New Roman"/>
          <w:b/>
          <w:szCs w:val="24"/>
        </w:rPr>
        <w:t>Rd</w:t>
      </w:r>
    </w:p>
    <w:p w:rsidR="000546DA" w:rsidRPr="00C37E76" w:rsidRDefault="000546DA" w:rsidP="002F2D5C">
      <w:pPr>
        <w:pStyle w:val="3"/>
        <w:numPr>
          <w:ilvl w:val="0"/>
          <w:numId w:val="33"/>
        </w:numPr>
        <w:tabs>
          <w:tab w:val="left" w:pos="720"/>
        </w:tabs>
        <w:suppressAutoHyphens/>
        <w:spacing w:line="360" w:lineRule="auto"/>
        <w:contextualSpacing/>
        <w:jc w:val="left"/>
        <w:rPr>
          <w:rFonts w:eastAsia="Times New Roman"/>
        </w:rPr>
      </w:pPr>
      <w:r w:rsidRPr="00C37E76">
        <w:rPr>
          <w:rFonts w:eastAsia="Times New Roman"/>
        </w:rPr>
        <w:t>Леналидомид</w:t>
      </w:r>
      <w:r>
        <w:rPr>
          <w:rFonts w:eastAsia="Times New Roman"/>
        </w:rPr>
        <w:t>**</w:t>
      </w:r>
      <w:r w:rsidRPr="00C37E76">
        <w:rPr>
          <w:rFonts w:eastAsia="Times New Roman"/>
        </w:rPr>
        <w:t xml:space="preserve"> 25 мг внутрь, дни 1</w:t>
      </w:r>
      <w:r w:rsidR="004204B1">
        <w:rPr>
          <w:rFonts w:eastAsia="Times New Roman"/>
        </w:rPr>
        <w:t>‒</w:t>
      </w:r>
      <w:r w:rsidRPr="00C37E76">
        <w:rPr>
          <w:rFonts w:eastAsia="Times New Roman"/>
        </w:rPr>
        <w:t>21</w:t>
      </w:r>
      <w:r w:rsidR="004204B1">
        <w:rPr>
          <w:rFonts w:eastAsia="Times New Roman"/>
        </w:rPr>
        <w:t>-й</w:t>
      </w:r>
    </w:p>
    <w:p w:rsidR="000546DA" w:rsidRPr="00C37E76" w:rsidRDefault="000546DA" w:rsidP="002F2D5C">
      <w:pPr>
        <w:pStyle w:val="3"/>
        <w:numPr>
          <w:ilvl w:val="0"/>
          <w:numId w:val="33"/>
        </w:numPr>
        <w:tabs>
          <w:tab w:val="left" w:pos="720"/>
        </w:tabs>
        <w:suppressAutoHyphens/>
        <w:spacing w:line="360" w:lineRule="auto"/>
        <w:contextualSpacing/>
        <w:jc w:val="left"/>
        <w:rPr>
          <w:rFonts w:eastAsia="Times New Roman"/>
        </w:rPr>
      </w:pPr>
      <w:r w:rsidRPr="00C37E76">
        <w:rPr>
          <w:rFonts w:eastAsia="Times New Roman"/>
        </w:rPr>
        <w:t>Дексаметазон</w:t>
      </w:r>
      <w:r>
        <w:rPr>
          <w:rFonts w:eastAsia="Times New Roman"/>
        </w:rPr>
        <w:t>**</w:t>
      </w:r>
      <w:r w:rsidRPr="00C37E76">
        <w:rPr>
          <w:rFonts w:eastAsia="Times New Roman"/>
        </w:rPr>
        <w:t xml:space="preserve"> 40 мг внутрь, дни 1, 8, 15, 22</w:t>
      </w:r>
      <w:r w:rsidR="004204B1">
        <w:rPr>
          <w:rFonts w:eastAsia="Times New Roman"/>
        </w:rPr>
        <w:t>-й</w:t>
      </w:r>
    </w:p>
    <w:p w:rsidR="000546DA" w:rsidRPr="00C37E76" w:rsidRDefault="000546DA" w:rsidP="00131E36">
      <w:pPr>
        <w:spacing w:before="0" w:after="0"/>
        <w:contextualSpacing/>
        <w:rPr>
          <w:rFonts w:eastAsia="Times New Roman"/>
          <w:szCs w:val="24"/>
        </w:rPr>
      </w:pPr>
      <w:r w:rsidRPr="00C37E76">
        <w:rPr>
          <w:rFonts w:eastAsia="Times New Roman"/>
          <w:szCs w:val="24"/>
        </w:rPr>
        <w:t>Лечение возобновляется на 29</w:t>
      </w:r>
      <w:r w:rsidR="004204B1">
        <w:rPr>
          <w:rFonts w:eastAsia="Times New Roman"/>
          <w:szCs w:val="24"/>
          <w:lang w:eastAsia="ru-RU"/>
        </w:rPr>
        <w:t>-й</w:t>
      </w:r>
      <w:r w:rsidRPr="00C37E76">
        <w:rPr>
          <w:rFonts w:eastAsia="Times New Roman"/>
          <w:szCs w:val="24"/>
        </w:rPr>
        <w:t xml:space="preserve"> день</w:t>
      </w:r>
      <w:r w:rsidR="004204B1">
        <w:rPr>
          <w:rFonts w:eastAsia="Times New Roman"/>
          <w:szCs w:val="24"/>
        </w:rPr>
        <w:t>.</w:t>
      </w:r>
    </w:p>
    <w:p w:rsidR="000546DA" w:rsidRDefault="000546DA" w:rsidP="00131E36">
      <w:pPr>
        <w:spacing w:before="0" w:after="0"/>
        <w:contextualSpacing/>
        <w:rPr>
          <w:rFonts w:eastAsia="Times New Roman"/>
          <w:szCs w:val="24"/>
        </w:rPr>
      </w:pPr>
      <w:r w:rsidRPr="00C37E76">
        <w:rPr>
          <w:rFonts w:eastAsia="Times New Roman"/>
          <w:szCs w:val="24"/>
        </w:rPr>
        <w:t>Лечение продолжают до прогрессирования или ра</w:t>
      </w:r>
      <w:r>
        <w:rPr>
          <w:rFonts w:eastAsia="Times New Roman"/>
          <w:szCs w:val="24"/>
        </w:rPr>
        <w:t>звития неприемлемой токсичности</w:t>
      </w:r>
      <w:r w:rsidR="004204B1">
        <w:rPr>
          <w:rFonts w:eastAsia="Times New Roman"/>
          <w:szCs w:val="24"/>
        </w:rPr>
        <w:t>.</w:t>
      </w:r>
    </w:p>
    <w:p w:rsidR="000546DA" w:rsidRPr="00D62DF3" w:rsidRDefault="000546DA" w:rsidP="00131E36">
      <w:pPr>
        <w:spacing w:before="0" w:after="0"/>
        <w:contextualSpacing/>
        <w:rPr>
          <w:rFonts w:eastAsia="Times New Roman"/>
          <w:b/>
          <w:szCs w:val="24"/>
          <w:lang w:val="en-US" w:eastAsia="ru-RU"/>
        </w:rPr>
      </w:pPr>
      <w:r w:rsidRPr="00C37E76">
        <w:rPr>
          <w:rFonts w:eastAsia="Times New Roman"/>
          <w:b/>
          <w:szCs w:val="24"/>
          <w:lang w:eastAsia="ru-RU"/>
        </w:rPr>
        <w:t>VRD</w:t>
      </w:r>
      <w:r w:rsidR="00626692">
        <w:rPr>
          <w:rFonts w:eastAsia="Times New Roman"/>
          <w:b/>
          <w:szCs w:val="24"/>
          <w:lang w:val="en-US" w:eastAsia="ru-RU"/>
        </w:rPr>
        <w:t xml:space="preserve"> </w:t>
      </w:r>
      <w:r w:rsidR="00626692">
        <w:rPr>
          <w:rFonts w:eastAsia="Times New Roman"/>
          <w:b/>
          <w:szCs w:val="24"/>
          <w:lang w:val="en-US" w:eastAsia="ru-RU"/>
        </w:rPr>
        <w:fldChar w:fldCharType="begin" w:fldLock="1"/>
      </w:r>
      <w:r w:rsidR="00315D6A">
        <w:rPr>
          <w:rFonts w:eastAsia="Times New Roman"/>
          <w:b/>
          <w:szCs w:val="24"/>
          <w:lang w:val="en-US" w:eastAsia="ru-RU"/>
        </w:rPr>
        <w:instrText>ADDIN CSL_CITATION {"citationItems":[{"id":"ITEM-1","itemData":{"DOI":"10.1310/hpj5201-27","ISSN":"19451253","abstract":"The complexity of cancer chemotherapy requires pharmacists be familiar with the complicated regimens and highly toxic agents used. This column reviews various issues related to preparation, dispensing, and administration of antineoplastic therapy, and the agents, both commercially available and investigational, used to treat malignant diseases. Questions or suggestions for topics should be addressed to Dominic A. Solimando, Jr, President, Oncology Pharmacy Services, Inc., 4201 Wilson Blvd #110-545, Arlington, VA 22203, OncRxSvc@comcast.net; or J. Aubrey Waddell, Professor, University of Tennessee College of Pharmacy; Oncology Pharmacist, Pharmacy Department, Blount Memorial Hospital, 907 E. Lamar Alexander Parkway, Maryville, TN 37804, Email: waddfour@charter.net. The information presented in this review is based on published data and clinical expertise and includes information not included in the product labeling. Incorporation of such published data provides a more robust assessment of the drugs and assists pharmacists in evaluation of orders for off-label use of these agents.","author":[{"dropping-particle":"","family":"Punke","given":"Alexandra P.","non-dropping-particle":"","parse-names":false,"suffix":""},{"dropping-particle":"","family":"Waddell","given":"J. Aubrey","non-dropping-particle":"","parse-names":false,"suffix":""},{"dropping-particle":"","family":"Solimando","given":"Dominic A.","non-dropping-particle":"","parse-names":false,"suffix":""}],"container-title":"Hospital Pharmacy","id":"ITEM-1","issue":"1","issued":{"date-parts":[["2017","1","1"]]},"page":"27-32","publisher":"SAGE Publications Ltd","title":"Lenalidomide, bortezomib, and dexamethasone (RVD) regimen for multiple myeloma","type":"article-journal","volume":"52"},"uris":["http://www.mendeley.com/documents/?uuid=cfe68f09-af24-3441-b51b-8e081d82c949"]}],"mendeley":{"formattedCitation":"[78]","plainTextFormattedCitation":"[78]","previouslyFormattedCitation":"[78]"},"properties":{"noteIndex":0},"schema":"https://github.com/citation-style-language/schema/raw/master/csl-citation.json"}</w:instrText>
      </w:r>
      <w:r w:rsidR="00626692">
        <w:rPr>
          <w:rFonts w:eastAsia="Times New Roman"/>
          <w:b/>
          <w:szCs w:val="24"/>
          <w:lang w:val="en-US" w:eastAsia="ru-RU"/>
        </w:rPr>
        <w:fldChar w:fldCharType="separate"/>
      </w:r>
      <w:r w:rsidR="00626692" w:rsidRPr="00626692">
        <w:rPr>
          <w:rFonts w:eastAsia="Times New Roman"/>
          <w:noProof/>
          <w:szCs w:val="24"/>
          <w:lang w:val="en-US" w:eastAsia="ru-RU"/>
        </w:rPr>
        <w:t>[78]</w:t>
      </w:r>
      <w:r w:rsidR="00626692">
        <w:rPr>
          <w:rFonts w:eastAsia="Times New Roman"/>
          <w:b/>
          <w:szCs w:val="24"/>
          <w:lang w:val="en-US" w:eastAsia="ru-RU"/>
        </w:rPr>
        <w:fldChar w:fldCharType="end"/>
      </w:r>
    </w:p>
    <w:p w:rsidR="000546DA" w:rsidRPr="00E93D36" w:rsidRDefault="000546DA" w:rsidP="002F2D5C">
      <w:pPr>
        <w:pStyle w:val="a5"/>
        <w:numPr>
          <w:ilvl w:val="0"/>
          <w:numId w:val="34"/>
        </w:numPr>
        <w:spacing w:before="0" w:after="0"/>
        <w:jc w:val="left"/>
        <w:rPr>
          <w:rFonts w:eastAsia="Times New Roman"/>
          <w:szCs w:val="24"/>
          <w:lang w:eastAsia="ru-RU"/>
        </w:rPr>
      </w:pPr>
      <w:r w:rsidRPr="00E93D36">
        <w:rPr>
          <w:rFonts w:eastAsia="Times New Roman"/>
          <w:szCs w:val="24"/>
          <w:lang w:eastAsia="ru-RU"/>
        </w:rPr>
        <w:t>Бортезомиб</w:t>
      </w:r>
      <w:r>
        <w:rPr>
          <w:rFonts w:eastAsia="Times New Roman"/>
          <w:szCs w:val="24"/>
          <w:lang w:eastAsia="ru-RU"/>
        </w:rPr>
        <w:t>**</w:t>
      </w:r>
      <w:r w:rsidRPr="00E93D36">
        <w:rPr>
          <w:rFonts w:eastAsia="Times New Roman"/>
          <w:szCs w:val="24"/>
          <w:lang w:eastAsia="ru-RU"/>
        </w:rPr>
        <w:t xml:space="preserve"> 1,3 мг/м</w:t>
      </w:r>
      <w:r w:rsidRPr="00E93D36">
        <w:rPr>
          <w:rFonts w:eastAsia="Times New Roman"/>
          <w:szCs w:val="24"/>
          <w:vertAlign w:val="superscript"/>
          <w:lang w:eastAsia="ru-RU"/>
        </w:rPr>
        <w:t>2</w:t>
      </w:r>
      <w:r w:rsidRPr="00E93D36">
        <w:rPr>
          <w:rFonts w:eastAsia="Times New Roman"/>
          <w:szCs w:val="24"/>
          <w:lang w:eastAsia="ru-RU"/>
        </w:rPr>
        <w:t xml:space="preserve"> п/к или в/в, дни 1, </w:t>
      </w:r>
      <w:r w:rsidR="00626692" w:rsidRPr="00D62DF3">
        <w:rPr>
          <w:rFonts w:eastAsia="Times New Roman"/>
          <w:szCs w:val="24"/>
          <w:lang w:eastAsia="ru-RU"/>
        </w:rPr>
        <w:t>4</w:t>
      </w:r>
      <w:r w:rsidRPr="00E93D36">
        <w:rPr>
          <w:rFonts w:eastAsia="Times New Roman"/>
          <w:szCs w:val="24"/>
          <w:lang w:eastAsia="ru-RU"/>
        </w:rPr>
        <w:t xml:space="preserve">, </w:t>
      </w:r>
      <w:r w:rsidR="00626692" w:rsidRPr="00D62DF3">
        <w:rPr>
          <w:rFonts w:eastAsia="Times New Roman"/>
          <w:szCs w:val="24"/>
          <w:lang w:eastAsia="ru-RU"/>
        </w:rPr>
        <w:t>8, 11</w:t>
      </w:r>
      <w:r w:rsidR="004204B1">
        <w:rPr>
          <w:rFonts w:eastAsia="Times New Roman"/>
          <w:szCs w:val="24"/>
          <w:lang w:eastAsia="ru-RU"/>
        </w:rPr>
        <w:t>-й</w:t>
      </w:r>
    </w:p>
    <w:p w:rsidR="000546DA" w:rsidRPr="00E93D36" w:rsidRDefault="000546DA" w:rsidP="002F2D5C">
      <w:pPr>
        <w:pStyle w:val="a5"/>
        <w:numPr>
          <w:ilvl w:val="0"/>
          <w:numId w:val="34"/>
        </w:numPr>
        <w:spacing w:before="0" w:after="0"/>
        <w:jc w:val="left"/>
        <w:rPr>
          <w:rFonts w:eastAsia="Times New Roman"/>
          <w:szCs w:val="24"/>
          <w:lang w:eastAsia="ru-RU"/>
        </w:rPr>
      </w:pPr>
      <w:r w:rsidRPr="00E93D36">
        <w:rPr>
          <w:rFonts w:eastAsia="Times New Roman"/>
          <w:szCs w:val="24"/>
          <w:lang w:eastAsia="ru-RU"/>
        </w:rPr>
        <w:t>Леналидомид</w:t>
      </w:r>
      <w:r>
        <w:rPr>
          <w:rFonts w:eastAsia="Times New Roman"/>
          <w:szCs w:val="24"/>
          <w:lang w:eastAsia="ru-RU"/>
        </w:rPr>
        <w:t>**</w:t>
      </w:r>
      <w:r w:rsidRPr="00E93D36">
        <w:rPr>
          <w:rFonts w:eastAsia="Times New Roman"/>
          <w:szCs w:val="24"/>
          <w:lang w:eastAsia="ru-RU"/>
        </w:rPr>
        <w:t xml:space="preserve"> 25 мг внутрь, дни 1</w:t>
      </w:r>
      <w:r w:rsidR="004204B1">
        <w:rPr>
          <w:rFonts w:eastAsia="Times New Roman"/>
          <w:szCs w:val="24"/>
          <w:lang w:eastAsia="ru-RU"/>
        </w:rPr>
        <w:t>‒</w:t>
      </w:r>
      <w:r w:rsidRPr="00E93D36">
        <w:rPr>
          <w:rFonts w:eastAsia="Times New Roman"/>
          <w:szCs w:val="24"/>
          <w:lang w:eastAsia="ru-RU"/>
        </w:rPr>
        <w:t>14</w:t>
      </w:r>
      <w:r w:rsidR="004204B1">
        <w:rPr>
          <w:rFonts w:eastAsia="Times New Roman"/>
          <w:szCs w:val="24"/>
          <w:lang w:eastAsia="ru-RU"/>
        </w:rPr>
        <w:t>-й</w:t>
      </w:r>
    </w:p>
    <w:p w:rsidR="000546DA" w:rsidRDefault="000546DA" w:rsidP="002F2D5C">
      <w:pPr>
        <w:pStyle w:val="a5"/>
        <w:numPr>
          <w:ilvl w:val="0"/>
          <w:numId w:val="34"/>
        </w:numPr>
        <w:spacing w:before="0" w:after="0"/>
        <w:jc w:val="left"/>
        <w:rPr>
          <w:rFonts w:eastAsia="Times New Roman"/>
          <w:szCs w:val="24"/>
          <w:lang w:eastAsia="ru-RU"/>
        </w:rPr>
      </w:pPr>
      <w:r w:rsidRPr="00E93D36">
        <w:rPr>
          <w:rFonts w:eastAsia="Times New Roman"/>
          <w:szCs w:val="24"/>
          <w:lang w:eastAsia="ru-RU"/>
        </w:rPr>
        <w:t>Дексаметазон</w:t>
      </w:r>
      <w:r>
        <w:rPr>
          <w:rFonts w:eastAsia="Times New Roman"/>
          <w:szCs w:val="24"/>
          <w:lang w:eastAsia="ru-RU"/>
        </w:rPr>
        <w:t>**</w:t>
      </w:r>
      <w:r w:rsidRPr="00E93D36">
        <w:rPr>
          <w:rFonts w:eastAsia="Times New Roman"/>
          <w:szCs w:val="24"/>
          <w:lang w:eastAsia="ru-RU"/>
        </w:rPr>
        <w:t xml:space="preserve"> 40 мг внутрь, дни 1, 8, 15</w:t>
      </w:r>
      <w:r w:rsidR="004204B1">
        <w:rPr>
          <w:rFonts w:eastAsia="Times New Roman"/>
          <w:szCs w:val="24"/>
          <w:lang w:eastAsia="ru-RU"/>
        </w:rPr>
        <w:t>-й</w:t>
      </w:r>
      <w:r w:rsidR="00626692" w:rsidRPr="00D62DF3">
        <w:rPr>
          <w:rFonts w:eastAsia="Times New Roman"/>
          <w:szCs w:val="24"/>
          <w:lang w:eastAsia="ru-RU"/>
        </w:rPr>
        <w:t xml:space="preserve"> </w:t>
      </w:r>
    </w:p>
    <w:p w:rsidR="000546DA" w:rsidRPr="00E93D36" w:rsidRDefault="000546DA" w:rsidP="00131E36">
      <w:pPr>
        <w:pStyle w:val="a5"/>
        <w:spacing w:before="0" w:after="0"/>
        <w:ind w:left="1080"/>
        <w:jc w:val="left"/>
        <w:rPr>
          <w:rFonts w:eastAsia="Times New Roman"/>
          <w:szCs w:val="24"/>
          <w:lang w:eastAsia="ru-RU"/>
        </w:rPr>
      </w:pPr>
      <w:r w:rsidRPr="00E93D36">
        <w:rPr>
          <w:rFonts w:eastAsia="Times New Roman"/>
          <w:szCs w:val="24"/>
          <w:lang w:eastAsia="ru-RU"/>
        </w:rPr>
        <w:t>Лечение возобновляется на 22</w:t>
      </w:r>
      <w:r w:rsidR="004204B1">
        <w:rPr>
          <w:rFonts w:eastAsia="Times New Roman"/>
          <w:szCs w:val="24"/>
          <w:lang w:eastAsia="ru-RU"/>
        </w:rPr>
        <w:t>-й</w:t>
      </w:r>
      <w:r w:rsidRPr="00E93D36">
        <w:rPr>
          <w:rFonts w:eastAsia="Times New Roman"/>
          <w:szCs w:val="24"/>
          <w:lang w:eastAsia="ru-RU"/>
        </w:rPr>
        <w:t xml:space="preserve"> день</w:t>
      </w:r>
      <w:r w:rsidR="004204B1">
        <w:rPr>
          <w:rFonts w:eastAsia="Times New Roman"/>
          <w:szCs w:val="24"/>
          <w:lang w:eastAsia="ru-RU"/>
        </w:rPr>
        <w:t>.</w:t>
      </w:r>
    </w:p>
    <w:p w:rsidR="000546DA" w:rsidRPr="00C37E76" w:rsidRDefault="000546DA" w:rsidP="00131E36">
      <w:pPr>
        <w:spacing w:before="0" w:after="0"/>
        <w:contextualSpacing/>
        <w:rPr>
          <w:rFonts w:eastAsia="Times New Roman"/>
          <w:b/>
          <w:szCs w:val="24"/>
        </w:rPr>
      </w:pPr>
      <w:r w:rsidRPr="00C37E76">
        <w:rPr>
          <w:rFonts w:eastAsia="Times New Roman"/>
          <w:b/>
          <w:szCs w:val="24"/>
        </w:rPr>
        <w:t>RAD</w:t>
      </w:r>
    </w:p>
    <w:p w:rsidR="000546DA" w:rsidRPr="00E93D36" w:rsidRDefault="000546DA" w:rsidP="002F2D5C">
      <w:pPr>
        <w:pStyle w:val="a5"/>
        <w:numPr>
          <w:ilvl w:val="0"/>
          <w:numId w:val="35"/>
        </w:numPr>
        <w:suppressAutoHyphens/>
        <w:spacing w:before="0" w:after="0"/>
        <w:jc w:val="left"/>
        <w:rPr>
          <w:rFonts w:eastAsia="Times New Roman"/>
          <w:szCs w:val="24"/>
        </w:rPr>
      </w:pPr>
      <w:r w:rsidRPr="00E93D36">
        <w:rPr>
          <w:rFonts w:eastAsia="Times New Roman"/>
          <w:szCs w:val="24"/>
        </w:rPr>
        <w:lastRenderedPageBreak/>
        <w:t>Леналидомид</w:t>
      </w:r>
      <w:r>
        <w:rPr>
          <w:rFonts w:eastAsia="Times New Roman"/>
          <w:szCs w:val="24"/>
          <w:lang w:eastAsia="ru-RU"/>
        </w:rPr>
        <w:t>**</w:t>
      </w:r>
      <w:r w:rsidRPr="00E93D36">
        <w:rPr>
          <w:rFonts w:eastAsia="Times New Roman"/>
          <w:szCs w:val="24"/>
        </w:rPr>
        <w:t xml:space="preserve"> 25 мг внутрь, дни 1</w:t>
      </w:r>
      <w:r w:rsidR="004204B1">
        <w:rPr>
          <w:rFonts w:eastAsia="Times New Roman"/>
          <w:szCs w:val="24"/>
        </w:rPr>
        <w:t>‒</w:t>
      </w:r>
      <w:r w:rsidRPr="00E93D36">
        <w:rPr>
          <w:rFonts w:eastAsia="Times New Roman"/>
          <w:szCs w:val="24"/>
        </w:rPr>
        <w:t>21</w:t>
      </w:r>
      <w:r w:rsidR="004204B1">
        <w:rPr>
          <w:rFonts w:eastAsia="Times New Roman"/>
          <w:szCs w:val="24"/>
          <w:lang w:eastAsia="ru-RU"/>
        </w:rPr>
        <w:t>-й</w:t>
      </w:r>
    </w:p>
    <w:p w:rsidR="000546DA" w:rsidRPr="00E93D36" w:rsidRDefault="000546DA" w:rsidP="002F2D5C">
      <w:pPr>
        <w:pStyle w:val="a5"/>
        <w:numPr>
          <w:ilvl w:val="0"/>
          <w:numId w:val="35"/>
        </w:numPr>
        <w:suppressAutoHyphens/>
        <w:spacing w:before="0" w:after="0"/>
        <w:jc w:val="left"/>
        <w:rPr>
          <w:rFonts w:eastAsia="Times New Roman"/>
          <w:szCs w:val="24"/>
        </w:rPr>
      </w:pPr>
      <w:r w:rsidRPr="00E93D36">
        <w:rPr>
          <w:rFonts w:eastAsia="Times New Roman"/>
          <w:szCs w:val="24"/>
        </w:rPr>
        <w:t>Доксорубицин</w:t>
      </w:r>
      <w:r>
        <w:rPr>
          <w:rFonts w:eastAsia="Times New Roman"/>
          <w:szCs w:val="24"/>
          <w:lang w:eastAsia="ru-RU"/>
        </w:rPr>
        <w:t>**</w:t>
      </w:r>
      <w:r w:rsidRPr="00E93D36">
        <w:rPr>
          <w:rFonts w:eastAsia="Times New Roman"/>
          <w:szCs w:val="24"/>
        </w:rPr>
        <w:t xml:space="preserve"> 9 мг/м</w:t>
      </w:r>
      <w:r w:rsidRPr="00E93D36">
        <w:rPr>
          <w:rFonts w:eastAsia="Times New Roman"/>
          <w:szCs w:val="24"/>
          <w:vertAlign w:val="superscript"/>
        </w:rPr>
        <w:t>2</w:t>
      </w:r>
      <w:r w:rsidRPr="00E93D36">
        <w:rPr>
          <w:rFonts w:eastAsia="Times New Roman"/>
          <w:szCs w:val="24"/>
        </w:rPr>
        <w:t xml:space="preserve"> в виде постоянной инфузии или ежедневно болюсно, дни 1</w:t>
      </w:r>
      <w:r w:rsidR="004204B1">
        <w:rPr>
          <w:rFonts w:eastAsia="Times New Roman"/>
          <w:szCs w:val="24"/>
        </w:rPr>
        <w:t>‒</w:t>
      </w:r>
      <w:r w:rsidRPr="00E93D36">
        <w:rPr>
          <w:rFonts w:eastAsia="Times New Roman"/>
          <w:szCs w:val="24"/>
        </w:rPr>
        <w:t>4</w:t>
      </w:r>
      <w:r w:rsidR="004204B1">
        <w:rPr>
          <w:rFonts w:eastAsia="Times New Roman"/>
          <w:szCs w:val="24"/>
          <w:lang w:eastAsia="ru-RU"/>
        </w:rPr>
        <w:t>-й</w:t>
      </w:r>
    </w:p>
    <w:p w:rsidR="000546DA" w:rsidRPr="00E93D36" w:rsidRDefault="000546DA" w:rsidP="002F2D5C">
      <w:pPr>
        <w:pStyle w:val="a5"/>
        <w:numPr>
          <w:ilvl w:val="0"/>
          <w:numId w:val="35"/>
        </w:numPr>
        <w:suppressAutoHyphens/>
        <w:spacing w:before="0" w:after="0"/>
        <w:jc w:val="left"/>
        <w:rPr>
          <w:rFonts w:eastAsia="Times New Roman"/>
          <w:szCs w:val="24"/>
        </w:rPr>
      </w:pPr>
      <w:r w:rsidRPr="00E93D36">
        <w:rPr>
          <w:rFonts w:eastAsia="Times New Roman"/>
          <w:szCs w:val="24"/>
        </w:rPr>
        <w:t xml:space="preserve">Дексаметазон 40 мг </w:t>
      </w:r>
      <w:r w:rsidR="004204B1">
        <w:rPr>
          <w:rFonts w:eastAsia="Times New Roman"/>
          <w:szCs w:val="24"/>
        </w:rPr>
        <w:t>в/в</w:t>
      </w:r>
      <w:r w:rsidRPr="00E93D36">
        <w:rPr>
          <w:rFonts w:eastAsia="Times New Roman"/>
          <w:szCs w:val="24"/>
        </w:rPr>
        <w:t xml:space="preserve"> или внутрь в дни 1</w:t>
      </w:r>
      <w:r w:rsidR="004204B1">
        <w:rPr>
          <w:rFonts w:eastAsia="Times New Roman"/>
          <w:szCs w:val="24"/>
        </w:rPr>
        <w:t>‒</w:t>
      </w:r>
      <w:r w:rsidRPr="00E93D36">
        <w:rPr>
          <w:rFonts w:eastAsia="Times New Roman"/>
          <w:szCs w:val="24"/>
        </w:rPr>
        <w:t>4</w:t>
      </w:r>
      <w:r w:rsidR="004204B1">
        <w:rPr>
          <w:rFonts w:eastAsia="Times New Roman"/>
          <w:szCs w:val="24"/>
          <w:lang w:eastAsia="ru-RU"/>
        </w:rPr>
        <w:t>-й</w:t>
      </w:r>
      <w:r w:rsidRPr="00E93D36">
        <w:rPr>
          <w:rFonts w:eastAsia="Times New Roman"/>
          <w:szCs w:val="24"/>
        </w:rPr>
        <w:t>, 17</w:t>
      </w:r>
      <w:r w:rsidR="004204B1">
        <w:rPr>
          <w:rFonts w:eastAsia="Times New Roman"/>
          <w:szCs w:val="24"/>
        </w:rPr>
        <w:t>‒</w:t>
      </w:r>
      <w:r w:rsidRPr="00E93D36">
        <w:rPr>
          <w:rFonts w:eastAsia="Times New Roman"/>
          <w:szCs w:val="24"/>
        </w:rPr>
        <w:t>20</w:t>
      </w:r>
      <w:r w:rsidR="004204B1">
        <w:rPr>
          <w:rFonts w:eastAsia="Times New Roman"/>
          <w:szCs w:val="24"/>
          <w:lang w:eastAsia="ru-RU"/>
        </w:rPr>
        <w:t>-й</w:t>
      </w:r>
    </w:p>
    <w:p w:rsidR="000546DA" w:rsidRPr="00C37E76" w:rsidRDefault="000546DA" w:rsidP="00131E36">
      <w:pPr>
        <w:spacing w:before="0" w:after="0"/>
        <w:contextualSpacing/>
        <w:rPr>
          <w:rFonts w:eastAsia="Times New Roman"/>
          <w:szCs w:val="24"/>
        </w:rPr>
      </w:pPr>
      <w:r w:rsidRPr="00C37E76">
        <w:rPr>
          <w:rFonts w:eastAsia="Times New Roman"/>
          <w:szCs w:val="24"/>
        </w:rPr>
        <w:t>Лечение возобновляет</w:t>
      </w:r>
      <w:r>
        <w:rPr>
          <w:rFonts w:eastAsia="Times New Roman"/>
          <w:szCs w:val="24"/>
        </w:rPr>
        <w:t>с</w:t>
      </w:r>
      <w:r w:rsidRPr="00C37E76">
        <w:rPr>
          <w:rFonts w:eastAsia="Times New Roman"/>
          <w:szCs w:val="24"/>
        </w:rPr>
        <w:t>я на 29</w:t>
      </w:r>
      <w:r w:rsidR="004204B1">
        <w:rPr>
          <w:rFonts w:eastAsia="Times New Roman"/>
          <w:szCs w:val="24"/>
          <w:lang w:eastAsia="ru-RU"/>
        </w:rPr>
        <w:t>-й</w:t>
      </w:r>
      <w:r w:rsidRPr="00C37E76">
        <w:rPr>
          <w:rFonts w:eastAsia="Times New Roman"/>
          <w:szCs w:val="24"/>
        </w:rPr>
        <w:t xml:space="preserve"> день</w:t>
      </w:r>
      <w:r w:rsidR="004204B1">
        <w:rPr>
          <w:rFonts w:eastAsia="Times New Roman"/>
          <w:szCs w:val="24"/>
        </w:rPr>
        <w:t>.</w:t>
      </w:r>
    </w:p>
    <w:p w:rsidR="000546DA" w:rsidRPr="00C37E76" w:rsidRDefault="000546DA" w:rsidP="00131E36">
      <w:pPr>
        <w:spacing w:before="0" w:after="0"/>
        <w:contextualSpacing/>
        <w:rPr>
          <w:rFonts w:eastAsia="Times New Roman"/>
          <w:b/>
          <w:szCs w:val="24"/>
        </w:rPr>
      </w:pPr>
      <w:r w:rsidRPr="00C37E76">
        <w:rPr>
          <w:rFonts w:eastAsia="Times New Roman"/>
          <w:b/>
          <w:szCs w:val="24"/>
        </w:rPr>
        <w:t>RCD</w:t>
      </w:r>
    </w:p>
    <w:p w:rsidR="000546DA" w:rsidRPr="00E93D36" w:rsidRDefault="000546DA" w:rsidP="002F2D5C">
      <w:pPr>
        <w:pStyle w:val="a5"/>
        <w:numPr>
          <w:ilvl w:val="0"/>
          <w:numId w:val="36"/>
        </w:numPr>
        <w:suppressAutoHyphens/>
        <w:spacing w:before="0" w:after="0"/>
        <w:jc w:val="left"/>
        <w:rPr>
          <w:rFonts w:eastAsia="Times New Roman"/>
          <w:szCs w:val="24"/>
        </w:rPr>
      </w:pPr>
      <w:r w:rsidRPr="00E93D36">
        <w:rPr>
          <w:rFonts w:eastAsia="Times New Roman"/>
          <w:szCs w:val="24"/>
        </w:rPr>
        <w:t>Леналидомид</w:t>
      </w:r>
      <w:r>
        <w:rPr>
          <w:rFonts w:eastAsia="Times New Roman"/>
          <w:szCs w:val="24"/>
          <w:lang w:eastAsia="ru-RU"/>
        </w:rPr>
        <w:t>**</w:t>
      </w:r>
      <w:r w:rsidRPr="00E93D36">
        <w:rPr>
          <w:rFonts w:eastAsia="Times New Roman"/>
          <w:szCs w:val="24"/>
        </w:rPr>
        <w:t xml:space="preserve"> 25 мг внутрь, дни 1</w:t>
      </w:r>
      <w:r w:rsidR="004204B1">
        <w:rPr>
          <w:rFonts w:eastAsia="Times New Roman"/>
          <w:szCs w:val="24"/>
        </w:rPr>
        <w:t>‒</w:t>
      </w:r>
      <w:r w:rsidRPr="00E93D36">
        <w:rPr>
          <w:rFonts w:eastAsia="Times New Roman"/>
          <w:szCs w:val="24"/>
        </w:rPr>
        <w:t>21</w:t>
      </w:r>
      <w:r w:rsidR="004204B1">
        <w:rPr>
          <w:rFonts w:eastAsia="Times New Roman"/>
          <w:szCs w:val="24"/>
          <w:lang w:eastAsia="ru-RU"/>
        </w:rPr>
        <w:t>-й</w:t>
      </w:r>
    </w:p>
    <w:p w:rsidR="000546DA" w:rsidRPr="00E93D36" w:rsidRDefault="000546DA" w:rsidP="002F2D5C">
      <w:pPr>
        <w:pStyle w:val="a5"/>
        <w:numPr>
          <w:ilvl w:val="0"/>
          <w:numId w:val="36"/>
        </w:numPr>
        <w:suppressAutoHyphens/>
        <w:spacing w:before="0" w:after="0"/>
        <w:jc w:val="left"/>
        <w:rPr>
          <w:rFonts w:eastAsia="Times New Roman"/>
          <w:szCs w:val="24"/>
        </w:rPr>
      </w:pPr>
      <w:r w:rsidRPr="00E93D36">
        <w:rPr>
          <w:rFonts w:eastAsia="Times New Roman"/>
          <w:szCs w:val="24"/>
        </w:rPr>
        <w:t>Циклофосфамид</w:t>
      </w:r>
      <w:r>
        <w:rPr>
          <w:rFonts w:eastAsia="Times New Roman"/>
          <w:szCs w:val="24"/>
          <w:lang w:eastAsia="ru-RU"/>
        </w:rPr>
        <w:t>**</w:t>
      </w:r>
      <w:r w:rsidRPr="00E93D36">
        <w:rPr>
          <w:rFonts w:eastAsia="Times New Roman"/>
          <w:szCs w:val="24"/>
        </w:rPr>
        <w:t xml:space="preserve"> 500 мг внутрь в дни 1,</w:t>
      </w:r>
      <w:r w:rsidR="004204B1">
        <w:rPr>
          <w:rFonts w:eastAsia="Times New Roman"/>
          <w:szCs w:val="24"/>
        </w:rPr>
        <w:t xml:space="preserve"> </w:t>
      </w:r>
      <w:r w:rsidRPr="00E93D36">
        <w:rPr>
          <w:rFonts w:eastAsia="Times New Roman"/>
          <w:szCs w:val="24"/>
        </w:rPr>
        <w:t>8,</w:t>
      </w:r>
      <w:r w:rsidR="004204B1">
        <w:rPr>
          <w:rFonts w:eastAsia="Times New Roman"/>
          <w:szCs w:val="24"/>
        </w:rPr>
        <w:t xml:space="preserve"> </w:t>
      </w:r>
      <w:r w:rsidRPr="00E93D36">
        <w:rPr>
          <w:rFonts w:eastAsia="Times New Roman"/>
          <w:szCs w:val="24"/>
        </w:rPr>
        <w:t>15,</w:t>
      </w:r>
      <w:r w:rsidR="004204B1">
        <w:rPr>
          <w:rFonts w:eastAsia="Times New Roman"/>
          <w:szCs w:val="24"/>
        </w:rPr>
        <w:t xml:space="preserve"> </w:t>
      </w:r>
      <w:r w:rsidRPr="00E93D36">
        <w:rPr>
          <w:rFonts w:eastAsia="Times New Roman"/>
          <w:szCs w:val="24"/>
        </w:rPr>
        <w:t>21</w:t>
      </w:r>
      <w:r w:rsidR="004204B1">
        <w:rPr>
          <w:rFonts w:eastAsia="Times New Roman"/>
          <w:szCs w:val="24"/>
          <w:lang w:eastAsia="ru-RU"/>
        </w:rPr>
        <w:t>-й</w:t>
      </w:r>
    </w:p>
    <w:p w:rsidR="000546DA" w:rsidRPr="00E93D36" w:rsidRDefault="000546DA" w:rsidP="002F2D5C">
      <w:pPr>
        <w:pStyle w:val="a5"/>
        <w:numPr>
          <w:ilvl w:val="0"/>
          <w:numId w:val="36"/>
        </w:numPr>
        <w:suppressAutoHyphens/>
        <w:spacing w:before="0" w:after="0"/>
        <w:jc w:val="left"/>
        <w:rPr>
          <w:rFonts w:eastAsia="Times New Roman"/>
          <w:szCs w:val="24"/>
        </w:rPr>
      </w:pPr>
      <w:r w:rsidRPr="00E93D36">
        <w:rPr>
          <w:rFonts w:eastAsia="Times New Roman"/>
          <w:szCs w:val="24"/>
        </w:rPr>
        <w:t>Дексаметазон</w:t>
      </w:r>
      <w:r>
        <w:rPr>
          <w:rFonts w:eastAsia="Times New Roman"/>
          <w:szCs w:val="24"/>
          <w:lang w:eastAsia="ru-RU"/>
        </w:rPr>
        <w:t>**</w:t>
      </w:r>
      <w:r w:rsidRPr="00E93D36">
        <w:rPr>
          <w:rFonts w:eastAsia="Times New Roman"/>
          <w:szCs w:val="24"/>
        </w:rPr>
        <w:t xml:space="preserve"> 20 мг </w:t>
      </w:r>
      <w:r w:rsidR="004204B1">
        <w:rPr>
          <w:rFonts w:eastAsia="Times New Roman"/>
          <w:szCs w:val="24"/>
        </w:rPr>
        <w:t>в/в</w:t>
      </w:r>
      <w:r w:rsidRPr="00E93D36">
        <w:rPr>
          <w:rFonts w:eastAsia="Times New Roman"/>
          <w:szCs w:val="24"/>
        </w:rPr>
        <w:t xml:space="preserve"> или внутрь в дни 1</w:t>
      </w:r>
      <w:r w:rsidR="004204B1">
        <w:rPr>
          <w:rFonts w:eastAsia="Times New Roman"/>
          <w:szCs w:val="24"/>
        </w:rPr>
        <w:t>‒</w:t>
      </w:r>
      <w:r w:rsidRPr="00E93D36">
        <w:rPr>
          <w:rFonts w:eastAsia="Times New Roman"/>
          <w:szCs w:val="24"/>
        </w:rPr>
        <w:t>4</w:t>
      </w:r>
      <w:r w:rsidR="004204B1">
        <w:rPr>
          <w:rFonts w:eastAsia="Times New Roman"/>
          <w:szCs w:val="24"/>
          <w:lang w:eastAsia="ru-RU"/>
        </w:rPr>
        <w:t>-й</w:t>
      </w:r>
      <w:r w:rsidRPr="00E93D36">
        <w:rPr>
          <w:rFonts w:eastAsia="Times New Roman"/>
          <w:szCs w:val="24"/>
        </w:rPr>
        <w:t>, 8</w:t>
      </w:r>
      <w:r w:rsidR="004204B1">
        <w:rPr>
          <w:rFonts w:eastAsia="Times New Roman"/>
          <w:szCs w:val="24"/>
        </w:rPr>
        <w:t>‒</w:t>
      </w:r>
      <w:r w:rsidRPr="00E93D36">
        <w:rPr>
          <w:rFonts w:eastAsia="Times New Roman"/>
          <w:szCs w:val="24"/>
        </w:rPr>
        <w:t>11</w:t>
      </w:r>
      <w:r w:rsidR="004204B1">
        <w:rPr>
          <w:rFonts w:eastAsia="Times New Roman"/>
          <w:szCs w:val="24"/>
          <w:lang w:eastAsia="ru-RU"/>
        </w:rPr>
        <w:t>-й</w:t>
      </w:r>
    </w:p>
    <w:p w:rsidR="000546DA" w:rsidRPr="00C37E76" w:rsidRDefault="000546DA" w:rsidP="00131E36">
      <w:pPr>
        <w:spacing w:before="0" w:after="0"/>
        <w:contextualSpacing/>
        <w:rPr>
          <w:rFonts w:eastAsia="Times New Roman"/>
          <w:szCs w:val="24"/>
        </w:rPr>
      </w:pPr>
      <w:r w:rsidRPr="00C37E76">
        <w:rPr>
          <w:rFonts w:eastAsia="Times New Roman"/>
          <w:szCs w:val="24"/>
        </w:rPr>
        <w:t>Лечение возобновляется на 29</w:t>
      </w:r>
      <w:r w:rsidR="004204B1">
        <w:rPr>
          <w:rFonts w:eastAsia="Times New Roman"/>
          <w:szCs w:val="24"/>
          <w:lang w:eastAsia="ru-RU"/>
        </w:rPr>
        <w:t>-й</w:t>
      </w:r>
      <w:r w:rsidRPr="00C37E76">
        <w:rPr>
          <w:rFonts w:eastAsia="Times New Roman"/>
          <w:szCs w:val="24"/>
        </w:rPr>
        <w:t xml:space="preserve"> день</w:t>
      </w:r>
      <w:r w:rsidR="004204B1">
        <w:rPr>
          <w:rFonts w:eastAsia="Times New Roman"/>
          <w:szCs w:val="24"/>
        </w:rPr>
        <w:t>.</w:t>
      </w:r>
    </w:p>
    <w:p w:rsidR="000546DA" w:rsidRPr="00C37E76" w:rsidRDefault="000546DA" w:rsidP="00131E36">
      <w:pPr>
        <w:spacing w:before="0" w:after="0"/>
        <w:contextualSpacing/>
        <w:rPr>
          <w:rFonts w:eastAsia="Times New Roman"/>
          <w:b/>
          <w:szCs w:val="24"/>
        </w:rPr>
      </w:pPr>
      <w:r w:rsidRPr="00C37E76">
        <w:rPr>
          <w:rFonts w:eastAsia="Times New Roman"/>
          <w:b/>
          <w:szCs w:val="24"/>
        </w:rPr>
        <w:t xml:space="preserve">RCP </w:t>
      </w:r>
    </w:p>
    <w:p w:rsidR="000546DA" w:rsidRPr="00E93D36" w:rsidRDefault="000546DA" w:rsidP="002F2D5C">
      <w:pPr>
        <w:pStyle w:val="a5"/>
        <w:numPr>
          <w:ilvl w:val="0"/>
          <w:numId w:val="37"/>
        </w:numPr>
        <w:suppressAutoHyphens/>
        <w:spacing w:before="0" w:after="0"/>
        <w:jc w:val="left"/>
        <w:rPr>
          <w:rFonts w:eastAsia="Times New Roman"/>
          <w:szCs w:val="24"/>
        </w:rPr>
      </w:pPr>
      <w:r w:rsidRPr="00E93D36">
        <w:rPr>
          <w:rFonts w:eastAsia="Times New Roman"/>
          <w:szCs w:val="24"/>
        </w:rPr>
        <w:t>Леналидомид</w:t>
      </w:r>
      <w:r>
        <w:rPr>
          <w:rFonts w:eastAsia="Times New Roman"/>
          <w:szCs w:val="24"/>
          <w:lang w:eastAsia="ru-RU"/>
        </w:rPr>
        <w:t>**</w:t>
      </w:r>
      <w:r w:rsidRPr="00E93D36">
        <w:rPr>
          <w:rFonts w:eastAsia="Times New Roman"/>
          <w:szCs w:val="24"/>
        </w:rPr>
        <w:t xml:space="preserve"> 25 мг внутрь, дни 1</w:t>
      </w:r>
      <w:r w:rsidR="004204B1">
        <w:rPr>
          <w:rFonts w:eastAsia="Times New Roman"/>
          <w:szCs w:val="24"/>
        </w:rPr>
        <w:t>‒</w:t>
      </w:r>
      <w:r w:rsidRPr="00E93D36">
        <w:rPr>
          <w:rFonts w:eastAsia="Times New Roman"/>
          <w:szCs w:val="24"/>
        </w:rPr>
        <w:t>21</w:t>
      </w:r>
      <w:r w:rsidR="004204B1">
        <w:rPr>
          <w:rFonts w:eastAsia="Times New Roman"/>
          <w:szCs w:val="24"/>
          <w:lang w:eastAsia="ru-RU"/>
        </w:rPr>
        <w:t>-й</w:t>
      </w:r>
    </w:p>
    <w:p w:rsidR="000546DA" w:rsidRPr="00E93D36" w:rsidRDefault="000546DA" w:rsidP="002F2D5C">
      <w:pPr>
        <w:pStyle w:val="a5"/>
        <w:numPr>
          <w:ilvl w:val="0"/>
          <w:numId w:val="37"/>
        </w:numPr>
        <w:suppressAutoHyphens/>
        <w:spacing w:before="0" w:after="0"/>
        <w:jc w:val="left"/>
        <w:rPr>
          <w:rFonts w:eastAsia="Times New Roman"/>
          <w:szCs w:val="24"/>
        </w:rPr>
      </w:pPr>
      <w:r w:rsidRPr="00E93D36">
        <w:rPr>
          <w:rFonts w:eastAsia="Times New Roman"/>
          <w:szCs w:val="24"/>
        </w:rPr>
        <w:t>Циклофосфамид</w:t>
      </w:r>
      <w:r>
        <w:rPr>
          <w:rFonts w:eastAsia="Times New Roman"/>
          <w:szCs w:val="24"/>
          <w:lang w:eastAsia="ru-RU"/>
        </w:rPr>
        <w:t>**</w:t>
      </w:r>
      <w:r w:rsidRPr="00E93D36">
        <w:rPr>
          <w:rFonts w:eastAsia="Times New Roman"/>
          <w:szCs w:val="24"/>
        </w:rPr>
        <w:t xml:space="preserve"> 300 мг/м</w:t>
      </w:r>
      <w:r w:rsidRPr="00E93D36">
        <w:rPr>
          <w:rFonts w:eastAsia="Times New Roman"/>
          <w:szCs w:val="24"/>
          <w:vertAlign w:val="superscript"/>
        </w:rPr>
        <w:t>2</w:t>
      </w:r>
      <w:r w:rsidRPr="00E93D36">
        <w:rPr>
          <w:rFonts w:eastAsia="Times New Roman"/>
          <w:szCs w:val="24"/>
        </w:rPr>
        <w:t xml:space="preserve"> внутрь в дни 1, 8, 15</w:t>
      </w:r>
      <w:r w:rsidR="00522C92">
        <w:rPr>
          <w:rFonts w:eastAsia="Times New Roman"/>
          <w:szCs w:val="24"/>
          <w:lang w:eastAsia="ru-RU"/>
        </w:rPr>
        <w:t>-й</w:t>
      </w:r>
    </w:p>
    <w:p w:rsidR="000546DA" w:rsidRPr="00E93D36" w:rsidRDefault="000546DA" w:rsidP="002F2D5C">
      <w:pPr>
        <w:pStyle w:val="a5"/>
        <w:numPr>
          <w:ilvl w:val="0"/>
          <w:numId w:val="37"/>
        </w:numPr>
        <w:suppressAutoHyphens/>
        <w:spacing w:before="0" w:after="0"/>
        <w:jc w:val="left"/>
        <w:rPr>
          <w:rFonts w:eastAsia="Times New Roman"/>
          <w:szCs w:val="24"/>
        </w:rPr>
      </w:pPr>
      <w:r w:rsidRPr="00E93D36">
        <w:rPr>
          <w:rFonts w:eastAsia="Times New Roman"/>
          <w:szCs w:val="24"/>
        </w:rPr>
        <w:t>Преднизолон</w:t>
      </w:r>
      <w:r>
        <w:rPr>
          <w:rFonts w:eastAsia="Times New Roman"/>
          <w:szCs w:val="24"/>
          <w:lang w:eastAsia="ru-RU"/>
        </w:rPr>
        <w:t>**</w:t>
      </w:r>
      <w:r w:rsidRPr="00E93D36">
        <w:rPr>
          <w:rFonts w:eastAsia="Times New Roman"/>
          <w:szCs w:val="24"/>
        </w:rPr>
        <w:t xml:space="preserve"> 100 мг внутрь через день</w:t>
      </w:r>
    </w:p>
    <w:p w:rsidR="000546DA" w:rsidRPr="00C37E76" w:rsidRDefault="000546DA" w:rsidP="00131E36">
      <w:pPr>
        <w:spacing w:before="0" w:after="0"/>
        <w:contextualSpacing/>
        <w:rPr>
          <w:rFonts w:eastAsia="Times New Roman"/>
          <w:szCs w:val="24"/>
        </w:rPr>
      </w:pPr>
      <w:r w:rsidRPr="00C37E76">
        <w:rPr>
          <w:rFonts w:eastAsia="Times New Roman"/>
          <w:szCs w:val="24"/>
        </w:rPr>
        <w:t>Лечение возобновляется на 29</w:t>
      </w:r>
      <w:r w:rsidR="00522C92">
        <w:rPr>
          <w:rFonts w:eastAsia="Times New Roman"/>
          <w:szCs w:val="24"/>
          <w:lang w:eastAsia="ru-RU"/>
        </w:rPr>
        <w:t>-й</w:t>
      </w:r>
      <w:r w:rsidRPr="00C37E76">
        <w:rPr>
          <w:rFonts w:eastAsia="Times New Roman"/>
          <w:szCs w:val="24"/>
        </w:rPr>
        <w:t xml:space="preserve"> день</w:t>
      </w:r>
      <w:r w:rsidR="00522C92">
        <w:rPr>
          <w:rFonts w:eastAsia="Times New Roman"/>
          <w:szCs w:val="24"/>
        </w:rPr>
        <w:t>.</w:t>
      </w:r>
    </w:p>
    <w:p w:rsidR="000546DA" w:rsidRPr="00C37E76" w:rsidRDefault="000546DA" w:rsidP="00131E36">
      <w:pPr>
        <w:spacing w:before="0" w:after="0"/>
        <w:contextualSpacing/>
        <w:rPr>
          <w:rFonts w:eastAsia="Times New Roman"/>
          <w:b/>
          <w:szCs w:val="24"/>
        </w:rPr>
      </w:pPr>
      <w:r w:rsidRPr="00C37E76">
        <w:rPr>
          <w:rFonts w:eastAsia="Times New Roman"/>
          <w:b/>
          <w:szCs w:val="24"/>
        </w:rPr>
        <w:t>BP</w:t>
      </w:r>
    </w:p>
    <w:p w:rsidR="000546DA" w:rsidRPr="00E93D36" w:rsidRDefault="000546DA" w:rsidP="002F2D5C">
      <w:pPr>
        <w:pStyle w:val="a5"/>
        <w:numPr>
          <w:ilvl w:val="0"/>
          <w:numId w:val="38"/>
        </w:numPr>
        <w:suppressAutoHyphens/>
        <w:spacing w:before="0" w:after="0"/>
        <w:jc w:val="left"/>
        <w:rPr>
          <w:rFonts w:eastAsia="Times New Roman"/>
          <w:szCs w:val="24"/>
        </w:rPr>
      </w:pPr>
      <w:r w:rsidRPr="00E93D36">
        <w:rPr>
          <w:rFonts w:eastAsia="Times New Roman"/>
          <w:szCs w:val="24"/>
        </w:rPr>
        <w:t>Бендамустин</w:t>
      </w:r>
      <w:r>
        <w:rPr>
          <w:rFonts w:eastAsia="Times New Roman"/>
          <w:szCs w:val="24"/>
          <w:lang w:eastAsia="ru-RU"/>
        </w:rPr>
        <w:t>**</w:t>
      </w:r>
      <w:r w:rsidRPr="00E93D36">
        <w:rPr>
          <w:rFonts w:eastAsia="Times New Roman"/>
          <w:szCs w:val="24"/>
        </w:rPr>
        <w:t xml:space="preserve">   100 мг/м</w:t>
      </w:r>
      <w:r w:rsidRPr="00E93D36">
        <w:rPr>
          <w:rFonts w:eastAsia="Times New Roman"/>
          <w:szCs w:val="24"/>
          <w:vertAlign w:val="superscript"/>
        </w:rPr>
        <w:t>2</w:t>
      </w:r>
      <w:r w:rsidRPr="00E93D36">
        <w:rPr>
          <w:rFonts w:eastAsia="Times New Roman"/>
          <w:szCs w:val="24"/>
        </w:rPr>
        <w:t xml:space="preserve"> в/в, дни 1, 2</w:t>
      </w:r>
      <w:r w:rsidR="00522C92">
        <w:rPr>
          <w:rFonts w:eastAsia="Times New Roman"/>
          <w:szCs w:val="24"/>
          <w:lang w:eastAsia="ru-RU"/>
        </w:rPr>
        <w:t>-й</w:t>
      </w:r>
    </w:p>
    <w:p w:rsidR="000546DA" w:rsidRPr="00E93D36" w:rsidRDefault="000546DA" w:rsidP="002F2D5C">
      <w:pPr>
        <w:pStyle w:val="a5"/>
        <w:numPr>
          <w:ilvl w:val="0"/>
          <w:numId w:val="38"/>
        </w:numPr>
        <w:suppressAutoHyphens/>
        <w:spacing w:before="0" w:after="0"/>
        <w:jc w:val="left"/>
        <w:rPr>
          <w:rFonts w:eastAsia="Times New Roman"/>
          <w:szCs w:val="24"/>
        </w:rPr>
      </w:pPr>
      <w:r w:rsidRPr="00E93D36">
        <w:rPr>
          <w:rFonts w:eastAsia="Times New Roman"/>
          <w:szCs w:val="24"/>
        </w:rPr>
        <w:t>Преднизолон</w:t>
      </w:r>
      <w:r>
        <w:rPr>
          <w:rFonts w:eastAsia="Times New Roman"/>
          <w:szCs w:val="24"/>
          <w:lang w:eastAsia="ru-RU"/>
        </w:rPr>
        <w:t>**</w:t>
      </w:r>
      <w:r w:rsidRPr="00E93D36">
        <w:rPr>
          <w:rFonts w:eastAsia="Times New Roman"/>
          <w:szCs w:val="24"/>
        </w:rPr>
        <w:t xml:space="preserve">   1 мг/кг внутрь, дни 1</w:t>
      </w:r>
      <w:r w:rsidR="00522C92">
        <w:rPr>
          <w:rFonts w:eastAsia="Times New Roman"/>
          <w:szCs w:val="24"/>
        </w:rPr>
        <w:t>‒</w:t>
      </w:r>
      <w:r w:rsidRPr="00E93D36">
        <w:rPr>
          <w:rFonts w:eastAsia="Times New Roman"/>
          <w:szCs w:val="24"/>
        </w:rPr>
        <w:t>4</w:t>
      </w:r>
      <w:r w:rsidR="00522C92">
        <w:rPr>
          <w:rFonts w:eastAsia="Times New Roman"/>
          <w:szCs w:val="24"/>
          <w:lang w:eastAsia="ru-RU"/>
        </w:rPr>
        <w:t>-й</w:t>
      </w:r>
    </w:p>
    <w:p w:rsidR="000546DA" w:rsidRPr="00C37E76" w:rsidRDefault="000546DA" w:rsidP="00131E36">
      <w:pPr>
        <w:spacing w:before="0" w:after="0"/>
        <w:contextualSpacing/>
        <w:rPr>
          <w:rFonts w:eastAsia="Times New Roman"/>
          <w:szCs w:val="24"/>
        </w:rPr>
      </w:pPr>
      <w:r w:rsidRPr="00C37E76">
        <w:rPr>
          <w:rFonts w:eastAsia="Times New Roman"/>
          <w:szCs w:val="24"/>
        </w:rPr>
        <w:t>Лечение возобновляется на 29</w:t>
      </w:r>
      <w:r w:rsidR="00522C92">
        <w:rPr>
          <w:rFonts w:eastAsia="Times New Roman"/>
          <w:szCs w:val="24"/>
          <w:lang w:eastAsia="ru-RU"/>
        </w:rPr>
        <w:t>-й</w:t>
      </w:r>
      <w:r w:rsidRPr="00C37E76">
        <w:rPr>
          <w:rFonts w:eastAsia="Times New Roman"/>
          <w:szCs w:val="24"/>
        </w:rPr>
        <w:t xml:space="preserve"> день</w:t>
      </w:r>
      <w:r w:rsidR="00522C92">
        <w:rPr>
          <w:rFonts w:eastAsia="Times New Roman"/>
          <w:szCs w:val="24"/>
        </w:rPr>
        <w:t>.</w:t>
      </w:r>
    </w:p>
    <w:p w:rsidR="000546DA" w:rsidRPr="00C37E76" w:rsidRDefault="000546DA" w:rsidP="00131E36">
      <w:pPr>
        <w:spacing w:before="0" w:after="0"/>
        <w:contextualSpacing/>
        <w:rPr>
          <w:rFonts w:eastAsia="Times New Roman"/>
          <w:szCs w:val="24"/>
        </w:rPr>
      </w:pPr>
      <w:r w:rsidRPr="00C37E76">
        <w:rPr>
          <w:rFonts w:eastAsia="Times New Roman"/>
          <w:b/>
          <w:szCs w:val="24"/>
        </w:rPr>
        <w:t>BBD</w:t>
      </w:r>
    </w:p>
    <w:p w:rsidR="000546DA" w:rsidRPr="00E93D36" w:rsidRDefault="000546DA" w:rsidP="002F2D5C">
      <w:pPr>
        <w:pStyle w:val="a5"/>
        <w:numPr>
          <w:ilvl w:val="0"/>
          <w:numId w:val="39"/>
        </w:numPr>
        <w:suppressAutoHyphens/>
        <w:spacing w:before="0" w:after="0"/>
        <w:jc w:val="left"/>
        <w:rPr>
          <w:rFonts w:eastAsia="Times New Roman"/>
          <w:szCs w:val="24"/>
        </w:rPr>
      </w:pPr>
      <w:r w:rsidRPr="00E93D36">
        <w:rPr>
          <w:rFonts w:eastAsia="Times New Roman"/>
          <w:szCs w:val="24"/>
        </w:rPr>
        <w:t>Бендамустин</w:t>
      </w:r>
      <w:r>
        <w:rPr>
          <w:rFonts w:eastAsia="Times New Roman"/>
          <w:szCs w:val="24"/>
          <w:lang w:eastAsia="ru-RU"/>
        </w:rPr>
        <w:t>**</w:t>
      </w:r>
      <w:r w:rsidRPr="00E93D36">
        <w:rPr>
          <w:rFonts w:eastAsia="Times New Roman"/>
          <w:szCs w:val="24"/>
        </w:rPr>
        <w:t xml:space="preserve"> 70 мг/м</w:t>
      </w:r>
      <w:r w:rsidRPr="00E93D36">
        <w:rPr>
          <w:rFonts w:eastAsia="Times New Roman"/>
          <w:szCs w:val="24"/>
          <w:vertAlign w:val="superscript"/>
        </w:rPr>
        <w:t>2</w:t>
      </w:r>
      <w:r w:rsidRPr="00E93D36">
        <w:rPr>
          <w:rFonts w:eastAsia="Times New Roman"/>
          <w:szCs w:val="24"/>
        </w:rPr>
        <w:t xml:space="preserve"> в/в, дни 1, 4</w:t>
      </w:r>
      <w:r w:rsidR="00522C92">
        <w:rPr>
          <w:rFonts w:eastAsia="Times New Roman"/>
          <w:szCs w:val="24"/>
          <w:lang w:eastAsia="ru-RU"/>
        </w:rPr>
        <w:t>-й</w:t>
      </w:r>
    </w:p>
    <w:p w:rsidR="000546DA" w:rsidRPr="00E93D36" w:rsidRDefault="000546DA" w:rsidP="002F2D5C">
      <w:pPr>
        <w:pStyle w:val="a5"/>
        <w:numPr>
          <w:ilvl w:val="0"/>
          <w:numId w:val="39"/>
        </w:numPr>
        <w:suppressAutoHyphens/>
        <w:spacing w:before="0" w:after="0"/>
        <w:jc w:val="left"/>
        <w:rPr>
          <w:rFonts w:eastAsia="Times New Roman"/>
          <w:szCs w:val="24"/>
        </w:rPr>
      </w:pPr>
      <w:r w:rsidRPr="00E93D36">
        <w:rPr>
          <w:rFonts w:eastAsia="Times New Roman"/>
          <w:szCs w:val="24"/>
        </w:rPr>
        <w:t>Бортезомиб</w:t>
      </w:r>
      <w:r>
        <w:rPr>
          <w:rFonts w:eastAsia="Times New Roman"/>
          <w:szCs w:val="24"/>
          <w:lang w:eastAsia="ru-RU"/>
        </w:rPr>
        <w:t>**</w:t>
      </w:r>
      <w:r w:rsidRPr="00E93D36">
        <w:rPr>
          <w:rFonts w:eastAsia="Times New Roman"/>
          <w:szCs w:val="24"/>
        </w:rPr>
        <w:t xml:space="preserve"> 1,3 мг/м</w:t>
      </w:r>
      <w:r w:rsidRPr="00E93D36">
        <w:rPr>
          <w:rFonts w:eastAsia="Times New Roman"/>
          <w:szCs w:val="24"/>
          <w:vertAlign w:val="superscript"/>
        </w:rPr>
        <w:t>2</w:t>
      </w:r>
      <w:r w:rsidRPr="00E93D36">
        <w:rPr>
          <w:rFonts w:eastAsia="Times New Roman"/>
          <w:szCs w:val="24"/>
          <w:lang w:eastAsia="ru-RU"/>
        </w:rPr>
        <w:t xml:space="preserve">п/к или </w:t>
      </w:r>
      <w:r w:rsidRPr="00E93D36">
        <w:rPr>
          <w:rFonts w:eastAsia="Times New Roman"/>
          <w:szCs w:val="24"/>
        </w:rPr>
        <w:t>в/в, дни 1, 4, 8, 11</w:t>
      </w:r>
      <w:r w:rsidR="00522C92">
        <w:rPr>
          <w:rFonts w:eastAsia="Times New Roman"/>
          <w:szCs w:val="24"/>
          <w:lang w:eastAsia="ru-RU"/>
        </w:rPr>
        <w:t>-й</w:t>
      </w:r>
    </w:p>
    <w:p w:rsidR="000546DA" w:rsidRPr="00E93D36" w:rsidRDefault="000546DA" w:rsidP="002F2D5C">
      <w:pPr>
        <w:pStyle w:val="a5"/>
        <w:numPr>
          <w:ilvl w:val="0"/>
          <w:numId w:val="39"/>
        </w:numPr>
        <w:suppressAutoHyphens/>
        <w:spacing w:before="0" w:after="0"/>
        <w:jc w:val="left"/>
        <w:rPr>
          <w:rFonts w:eastAsia="Times New Roman"/>
          <w:szCs w:val="24"/>
        </w:rPr>
      </w:pPr>
      <w:r w:rsidRPr="00E93D36">
        <w:rPr>
          <w:rFonts w:eastAsia="Times New Roman"/>
          <w:szCs w:val="24"/>
        </w:rPr>
        <w:t>Дексаметазон</w:t>
      </w:r>
      <w:r>
        <w:rPr>
          <w:rFonts w:eastAsia="Times New Roman"/>
          <w:szCs w:val="24"/>
          <w:lang w:eastAsia="ru-RU"/>
        </w:rPr>
        <w:t>**</w:t>
      </w:r>
      <w:r w:rsidRPr="00E93D36">
        <w:rPr>
          <w:rFonts w:eastAsia="Times New Roman"/>
          <w:szCs w:val="24"/>
        </w:rPr>
        <w:t xml:space="preserve"> 20 мг внутрь в дни 1, 4, 8, 11</w:t>
      </w:r>
      <w:r w:rsidR="00522C92">
        <w:rPr>
          <w:rFonts w:eastAsia="Times New Roman"/>
          <w:szCs w:val="24"/>
          <w:lang w:eastAsia="ru-RU"/>
        </w:rPr>
        <w:t>-й</w:t>
      </w:r>
    </w:p>
    <w:p w:rsidR="000546DA" w:rsidRPr="00C37E76" w:rsidRDefault="000546DA" w:rsidP="00131E36">
      <w:pPr>
        <w:spacing w:before="0" w:after="0"/>
        <w:contextualSpacing/>
        <w:rPr>
          <w:rFonts w:eastAsia="Times New Roman"/>
          <w:b/>
          <w:szCs w:val="24"/>
          <w:shd w:val="clear" w:color="auto" w:fill="FFFF00"/>
        </w:rPr>
      </w:pPr>
      <w:r w:rsidRPr="00C37E76">
        <w:rPr>
          <w:rFonts w:eastAsia="Times New Roman"/>
          <w:szCs w:val="24"/>
        </w:rPr>
        <w:t>Лечение возобновляется на 29</w:t>
      </w:r>
      <w:r w:rsidR="00522C92">
        <w:rPr>
          <w:rFonts w:eastAsia="Times New Roman"/>
          <w:szCs w:val="24"/>
          <w:lang w:eastAsia="ru-RU"/>
        </w:rPr>
        <w:t>-й</w:t>
      </w:r>
      <w:r w:rsidRPr="00C37E76">
        <w:rPr>
          <w:rFonts w:eastAsia="Times New Roman"/>
          <w:szCs w:val="24"/>
        </w:rPr>
        <w:t xml:space="preserve"> день</w:t>
      </w:r>
      <w:r w:rsidR="00522C92">
        <w:rPr>
          <w:rFonts w:eastAsia="Times New Roman"/>
          <w:szCs w:val="24"/>
        </w:rPr>
        <w:t>.</w:t>
      </w:r>
    </w:p>
    <w:p w:rsidR="000546DA" w:rsidRPr="00C37E76" w:rsidRDefault="000546DA" w:rsidP="00131E36">
      <w:pPr>
        <w:spacing w:before="0" w:after="0"/>
        <w:contextualSpacing/>
        <w:rPr>
          <w:rFonts w:eastAsia="Times New Roman"/>
          <w:b/>
          <w:szCs w:val="24"/>
        </w:rPr>
      </w:pPr>
      <w:r w:rsidRPr="00C37E76">
        <w:rPr>
          <w:rFonts w:eastAsia="Times New Roman"/>
          <w:b/>
          <w:szCs w:val="24"/>
        </w:rPr>
        <w:t>BRD</w:t>
      </w:r>
    </w:p>
    <w:p w:rsidR="000546DA" w:rsidRPr="00E93D36" w:rsidRDefault="000546DA" w:rsidP="002F2D5C">
      <w:pPr>
        <w:pStyle w:val="a5"/>
        <w:numPr>
          <w:ilvl w:val="0"/>
          <w:numId w:val="40"/>
        </w:numPr>
        <w:suppressAutoHyphens/>
        <w:spacing w:before="0" w:after="0"/>
        <w:jc w:val="left"/>
        <w:rPr>
          <w:rFonts w:eastAsia="Times New Roman"/>
          <w:szCs w:val="24"/>
        </w:rPr>
      </w:pPr>
      <w:r w:rsidRPr="00E93D36">
        <w:rPr>
          <w:rFonts w:eastAsia="Times New Roman"/>
          <w:szCs w:val="24"/>
        </w:rPr>
        <w:t>Бендамустин</w:t>
      </w:r>
      <w:r>
        <w:rPr>
          <w:rFonts w:eastAsia="Times New Roman"/>
          <w:szCs w:val="24"/>
          <w:lang w:eastAsia="ru-RU"/>
        </w:rPr>
        <w:t>**</w:t>
      </w:r>
      <w:r w:rsidRPr="00E93D36">
        <w:rPr>
          <w:rFonts w:eastAsia="Times New Roman"/>
          <w:szCs w:val="24"/>
        </w:rPr>
        <w:t xml:space="preserve"> 75 мг/м</w:t>
      </w:r>
      <w:r w:rsidRPr="00E93D36">
        <w:rPr>
          <w:rFonts w:eastAsia="Times New Roman"/>
          <w:szCs w:val="24"/>
          <w:vertAlign w:val="superscript"/>
        </w:rPr>
        <w:t>2</w:t>
      </w:r>
      <w:r w:rsidRPr="00E93D36">
        <w:rPr>
          <w:rFonts w:eastAsia="Times New Roman"/>
          <w:szCs w:val="24"/>
        </w:rPr>
        <w:t xml:space="preserve"> в/в, дни 1, 2</w:t>
      </w:r>
      <w:r w:rsidR="00522C92">
        <w:rPr>
          <w:rFonts w:eastAsia="Times New Roman"/>
          <w:szCs w:val="24"/>
          <w:lang w:eastAsia="ru-RU"/>
        </w:rPr>
        <w:t>-й</w:t>
      </w:r>
    </w:p>
    <w:p w:rsidR="000546DA" w:rsidRPr="00E93D36" w:rsidRDefault="000546DA" w:rsidP="002F2D5C">
      <w:pPr>
        <w:pStyle w:val="a5"/>
        <w:numPr>
          <w:ilvl w:val="0"/>
          <w:numId w:val="40"/>
        </w:numPr>
        <w:suppressAutoHyphens/>
        <w:spacing w:before="0" w:after="0"/>
        <w:jc w:val="left"/>
        <w:rPr>
          <w:rFonts w:eastAsia="Times New Roman"/>
          <w:szCs w:val="24"/>
        </w:rPr>
      </w:pPr>
      <w:r w:rsidRPr="00E93D36">
        <w:rPr>
          <w:rFonts w:eastAsia="Times New Roman"/>
          <w:szCs w:val="24"/>
        </w:rPr>
        <w:t>Леналидомид</w:t>
      </w:r>
      <w:r>
        <w:rPr>
          <w:rFonts w:eastAsia="Times New Roman"/>
          <w:szCs w:val="24"/>
          <w:lang w:eastAsia="ru-RU"/>
        </w:rPr>
        <w:t>**</w:t>
      </w:r>
      <w:r w:rsidRPr="00E93D36">
        <w:rPr>
          <w:rFonts w:eastAsia="Times New Roman"/>
          <w:szCs w:val="24"/>
        </w:rPr>
        <w:t xml:space="preserve"> 10 мг внутрь, дни 1</w:t>
      </w:r>
      <w:r w:rsidR="00522C92">
        <w:rPr>
          <w:rFonts w:eastAsia="Times New Roman"/>
          <w:szCs w:val="24"/>
        </w:rPr>
        <w:t>‒</w:t>
      </w:r>
      <w:r w:rsidRPr="00E93D36">
        <w:rPr>
          <w:rFonts w:eastAsia="Times New Roman"/>
          <w:szCs w:val="24"/>
        </w:rPr>
        <w:t>21</w:t>
      </w:r>
      <w:r w:rsidR="00522C92">
        <w:rPr>
          <w:rFonts w:eastAsia="Times New Roman"/>
          <w:szCs w:val="24"/>
          <w:lang w:eastAsia="ru-RU"/>
        </w:rPr>
        <w:t>-й</w:t>
      </w:r>
    </w:p>
    <w:p w:rsidR="000546DA" w:rsidRPr="00E93D36" w:rsidRDefault="000546DA" w:rsidP="002F2D5C">
      <w:pPr>
        <w:pStyle w:val="a5"/>
        <w:numPr>
          <w:ilvl w:val="0"/>
          <w:numId w:val="40"/>
        </w:numPr>
        <w:suppressAutoHyphens/>
        <w:spacing w:before="0" w:after="0"/>
        <w:jc w:val="left"/>
        <w:rPr>
          <w:rFonts w:eastAsia="Times New Roman"/>
          <w:szCs w:val="24"/>
        </w:rPr>
      </w:pPr>
      <w:r w:rsidRPr="00E93D36">
        <w:rPr>
          <w:rFonts w:eastAsia="Times New Roman"/>
          <w:szCs w:val="24"/>
        </w:rPr>
        <w:t>Дексаметазон</w:t>
      </w:r>
      <w:r>
        <w:rPr>
          <w:rFonts w:eastAsia="Times New Roman"/>
          <w:szCs w:val="24"/>
          <w:lang w:eastAsia="ru-RU"/>
        </w:rPr>
        <w:t>**</w:t>
      </w:r>
      <w:r w:rsidRPr="00E93D36">
        <w:rPr>
          <w:rFonts w:eastAsia="Times New Roman"/>
          <w:szCs w:val="24"/>
        </w:rPr>
        <w:t xml:space="preserve"> 40 мг внутрь или в/в, дни 1, 8, 15, 22</w:t>
      </w:r>
      <w:r w:rsidR="00522C92">
        <w:rPr>
          <w:rFonts w:eastAsia="Times New Roman"/>
          <w:szCs w:val="24"/>
          <w:lang w:eastAsia="ru-RU"/>
        </w:rPr>
        <w:t>-й</w:t>
      </w:r>
    </w:p>
    <w:p w:rsidR="000546DA" w:rsidRPr="00C37E76" w:rsidRDefault="000546DA" w:rsidP="00131E36">
      <w:pPr>
        <w:spacing w:before="0" w:after="0"/>
        <w:contextualSpacing/>
        <w:rPr>
          <w:rFonts w:eastAsia="Times New Roman"/>
          <w:szCs w:val="24"/>
        </w:rPr>
      </w:pPr>
      <w:r w:rsidRPr="00C37E76">
        <w:rPr>
          <w:rFonts w:eastAsia="Times New Roman"/>
          <w:szCs w:val="24"/>
        </w:rPr>
        <w:t>Лечение возобновляется на 29</w:t>
      </w:r>
      <w:r w:rsidR="00522C92">
        <w:rPr>
          <w:rFonts w:eastAsia="Times New Roman"/>
          <w:szCs w:val="24"/>
          <w:lang w:eastAsia="ru-RU"/>
        </w:rPr>
        <w:t>-й</w:t>
      </w:r>
      <w:r w:rsidRPr="00C37E76">
        <w:rPr>
          <w:rFonts w:eastAsia="Times New Roman"/>
          <w:szCs w:val="24"/>
        </w:rPr>
        <w:t xml:space="preserve"> день</w:t>
      </w:r>
      <w:r w:rsidR="00522C92">
        <w:rPr>
          <w:rFonts w:eastAsia="Times New Roman"/>
          <w:szCs w:val="24"/>
        </w:rPr>
        <w:t>.</w:t>
      </w:r>
    </w:p>
    <w:p w:rsidR="000546DA" w:rsidRPr="00C37E76" w:rsidRDefault="000546DA" w:rsidP="00131E36">
      <w:pPr>
        <w:spacing w:before="0" w:after="0"/>
        <w:contextualSpacing/>
        <w:rPr>
          <w:rFonts w:eastAsia="Times New Roman"/>
          <w:b/>
          <w:szCs w:val="24"/>
        </w:rPr>
      </w:pPr>
      <w:r w:rsidRPr="00C37E76">
        <w:rPr>
          <w:rFonts w:eastAsia="Times New Roman"/>
          <w:b/>
          <w:szCs w:val="24"/>
        </w:rPr>
        <w:t>Pom+dex</w:t>
      </w:r>
    </w:p>
    <w:p w:rsidR="000546DA" w:rsidRPr="00E93D36" w:rsidRDefault="000546DA" w:rsidP="002F2D5C">
      <w:pPr>
        <w:pStyle w:val="a5"/>
        <w:numPr>
          <w:ilvl w:val="0"/>
          <w:numId w:val="41"/>
        </w:numPr>
        <w:suppressAutoHyphens/>
        <w:spacing w:before="0" w:after="0"/>
        <w:jc w:val="left"/>
        <w:rPr>
          <w:rFonts w:eastAsia="Times New Roman"/>
          <w:szCs w:val="24"/>
        </w:rPr>
      </w:pPr>
      <w:r w:rsidRPr="00E93D36">
        <w:rPr>
          <w:rFonts w:eastAsia="Times New Roman"/>
          <w:szCs w:val="24"/>
        </w:rPr>
        <w:t>Помалидомид 4 мг внутрь, дни 1</w:t>
      </w:r>
      <w:r w:rsidR="00522C92">
        <w:rPr>
          <w:rFonts w:eastAsia="Times New Roman"/>
          <w:szCs w:val="24"/>
        </w:rPr>
        <w:t>‒</w:t>
      </w:r>
      <w:r w:rsidRPr="00E93D36">
        <w:rPr>
          <w:rFonts w:eastAsia="Times New Roman"/>
          <w:szCs w:val="24"/>
          <w:lang w:val="en-US"/>
        </w:rPr>
        <w:t>21</w:t>
      </w:r>
      <w:r w:rsidR="00522C92">
        <w:rPr>
          <w:rFonts w:eastAsia="Times New Roman"/>
          <w:szCs w:val="24"/>
          <w:lang w:eastAsia="ru-RU"/>
        </w:rPr>
        <w:t>-й</w:t>
      </w:r>
    </w:p>
    <w:p w:rsidR="000546DA" w:rsidRPr="00E93D36" w:rsidRDefault="000546DA" w:rsidP="002F2D5C">
      <w:pPr>
        <w:pStyle w:val="a5"/>
        <w:numPr>
          <w:ilvl w:val="0"/>
          <w:numId w:val="41"/>
        </w:numPr>
        <w:suppressAutoHyphens/>
        <w:spacing w:before="0" w:after="0"/>
        <w:jc w:val="left"/>
        <w:rPr>
          <w:rFonts w:eastAsia="Times New Roman"/>
          <w:szCs w:val="24"/>
        </w:rPr>
      </w:pPr>
      <w:r w:rsidRPr="00E93D36">
        <w:rPr>
          <w:rFonts w:eastAsia="Times New Roman"/>
          <w:szCs w:val="24"/>
        </w:rPr>
        <w:t>Дексаметазон</w:t>
      </w:r>
      <w:r>
        <w:rPr>
          <w:rFonts w:eastAsia="Times New Roman"/>
          <w:szCs w:val="24"/>
          <w:lang w:eastAsia="ru-RU"/>
        </w:rPr>
        <w:t>**</w:t>
      </w:r>
      <w:r w:rsidRPr="00E93D36">
        <w:rPr>
          <w:rFonts w:eastAsia="Times New Roman"/>
          <w:szCs w:val="24"/>
        </w:rPr>
        <w:t xml:space="preserve"> 40 мг внутрь, дни 1, 8, 15, 22</w:t>
      </w:r>
      <w:r w:rsidR="00522C92">
        <w:rPr>
          <w:rFonts w:eastAsia="Times New Roman"/>
          <w:szCs w:val="24"/>
          <w:lang w:eastAsia="ru-RU"/>
        </w:rPr>
        <w:t>-й</w:t>
      </w:r>
    </w:p>
    <w:p w:rsidR="000546DA" w:rsidRPr="00C37E76" w:rsidRDefault="000546DA" w:rsidP="00131E36">
      <w:pPr>
        <w:spacing w:before="0" w:after="0"/>
        <w:contextualSpacing/>
        <w:rPr>
          <w:rFonts w:eastAsia="Times New Roman"/>
          <w:szCs w:val="24"/>
        </w:rPr>
      </w:pPr>
      <w:r w:rsidRPr="00C37E76">
        <w:rPr>
          <w:rFonts w:eastAsia="Times New Roman"/>
          <w:szCs w:val="24"/>
        </w:rPr>
        <w:t>Лечение возобновляется на 29</w:t>
      </w:r>
      <w:r w:rsidR="00522C92">
        <w:rPr>
          <w:rFonts w:eastAsia="Times New Roman"/>
          <w:szCs w:val="24"/>
          <w:lang w:eastAsia="ru-RU"/>
        </w:rPr>
        <w:t>-й</w:t>
      </w:r>
      <w:r w:rsidRPr="00C37E76">
        <w:rPr>
          <w:rFonts w:eastAsia="Times New Roman"/>
          <w:szCs w:val="24"/>
        </w:rPr>
        <w:t xml:space="preserve"> день</w:t>
      </w:r>
      <w:r w:rsidR="00522C92">
        <w:rPr>
          <w:rFonts w:eastAsia="Times New Roman"/>
          <w:szCs w:val="24"/>
        </w:rPr>
        <w:t>.</w:t>
      </w:r>
    </w:p>
    <w:p w:rsidR="000546DA" w:rsidRPr="00C37E76" w:rsidRDefault="000546DA" w:rsidP="00131E36">
      <w:pPr>
        <w:spacing w:before="0" w:after="0"/>
        <w:contextualSpacing/>
        <w:rPr>
          <w:rFonts w:eastAsia="Times New Roman"/>
          <w:b/>
          <w:szCs w:val="24"/>
        </w:rPr>
      </w:pPr>
      <w:r w:rsidRPr="00C37E76">
        <w:rPr>
          <w:rFonts w:eastAsia="Times New Roman"/>
          <w:b/>
          <w:szCs w:val="24"/>
        </w:rPr>
        <w:t>Карфилзомиб (монотерапия)</w:t>
      </w:r>
    </w:p>
    <w:p w:rsidR="000546DA" w:rsidRPr="00BF55DF" w:rsidRDefault="000546DA" w:rsidP="002F2D5C">
      <w:pPr>
        <w:pStyle w:val="a5"/>
        <w:numPr>
          <w:ilvl w:val="0"/>
          <w:numId w:val="42"/>
        </w:numPr>
        <w:spacing w:before="0" w:after="0"/>
        <w:jc w:val="left"/>
        <w:rPr>
          <w:rFonts w:eastAsia="Times New Roman"/>
          <w:szCs w:val="24"/>
        </w:rPr>
      </w:pPr>
      <w:r w:rsidRPr="00BF55DF">
        <w:rPr>
          <w:rFonts w:eastAsia="Times New Roman"/>
          <w:szCs w:val="24"/>
        </w:rPr>
        <w:lastRenderedPageBreak/>
        <w:t>Карфилзомиб</w:t>
      </w:r>
      <w:r w:rsidRPr="00BF55DF">
        <w:rPr>
          <w:rFonts w:eastAsia="Times New Roman"/>
          <w:szCs w:val="24"/>
          <w:lang w:eastAsia="ru-RU"/>
        </w:rPr>
        <w:t>**</w:t>
      </w:r>
      <w:r w:rsidRPr="00BF55DF">
        <w:rPr>
          <w:rFonts w:eastAsia="Times New Roman"/>
          <w:szCs w:val="24"/>
        </w:rPr>
        <w:t xml:space="preserve">   20 мг/м</w:t>
      </w:r>
      <w:r w:rsidRPr="00BF55DF">
        <w:rPr>
          <w:rFonts w:eastAsia="Times New Roman"/>
          <w:szCs w:val="24"/>
          <w:vertAlign w:val="superscript"/>
        </w:rPr>
        <w:t>2</w:t>
      </w:r>
      <w:r w:rsidRPr="00BF55DF">
        <w:rPr>
          <w:rFonts w:eastAsia="Times New Roman"/>
          <w:szCs w:val="24"/>
        </w:rPr>
        <w:t xml:space="preserve"> в</w:t>
      </w:r>
      <w:r w:rsidR="006A0AFE" w:rsidRPr="00BF55DF">
        <w:rPr>
          <w:rFonts w:eastAsia="Times New Roman"/>
          <w:szCs w:val="24"/>
        </w:rPr>
        <w:t>/в,</w:t>
      </w:r>
      <w:r w:rsidRPr="00BF55DF">
        <w:rPr>
          <w:rFonts w:eastAsia="Times New Roman"/>
          <w:szCs w:val="24"/>
        </w:rPr>
        <w:t xml:space="preserve"> дни 1, 2, 8, 9, 15, 16</w:t>
      </w:r>
      <w:r w:rsidR="00522C92" w:rsidRPr="00BF55DF">
        <w:rPr>
          <w:rFonts w:eastAsia="Times New Roman"/>
          <w:szCs w:val="24"/>
          <w:lang w:eastAsia="ru-RU"/>
        </w:rPr>
        <w:t>-й</w:t>
      </w:r>
      <w:r w:rsidRPr="00BF55DF">
        <w:rPr>
          <w:rFonts w:eastAsia="Times New Roman"/>
          <w:szCs w:val="24"/>
        </w:rPr>
        <w:t xml:space="preserve"> </w:t>
      </w:r>
      <w:r w:rsidR="00522C92" w:rsidRPr="00BF55DF">
        <w:rPr>
          <w:rFonts w:eastAsia="Times New Roman"/>
          <w:szCs w:val="24"/>
        </w:rPr>
        <w:t>‒ 1-</w:t>
      </w:r>
      <w:r w:rsidRPr="00BF55DF">
        <w:rPr>
          <w:rFonts w:eastAsia="Times New Roman"/>
          <w:szCs w:val="24"/>
        </w:rPr>
        <w:t>й цикл,</w:t>
      </w:r>
    </w:p>
    <w:p w:rsidR="000546DA" w:rsidRPr="00C37E76" w:rsidRDefault="000546DA" w:rsidP="00131E36">
      <w:pPr>
        <w:pStyle w:val="a5"/>
        <w:spacing w:before="0" w:after="0"/>
        <w:ind w:left="1428" w:firstLine="696"/>
        <w:rPr>
          <w:rFonts w:eastAsia="Times New Roman"/>
          <w:szCs w:val="24"/>
        </w:rPr>
      </w:pPr>
      <w:r w:rsidRPr="00C37E76">
        <w:rPr>
          <w:rFonts w:eastAsia="Times New Roman"/>
          <w:szCs w:val="24"/>
        </w:rPr>
        <w:t xml:space="preserve"> 27 мг/м</w:t>
      </w:r>
      <w:r w:rsidRPr="00C37E76">
        <w:rPr>
          <w:rFonts w:eastAsia="Times New Roman"/>
          <w:szCs w:val="24"/>
          <w:vertAlign w:val="superscript"/>
        </w:rPr>
        <w:t xml:space="preserve">2 </w:t>
      </w:r>
      <w:r w:rsidRPr="00C37E76">
        <w:rPr>
          <w:rFonts w:eastAsia="Times New Roman"/>
          <w:szCs w:val="24"/>
        </w:rPr>
        <w:t>в дни 1, 2, 8, 9, 15, 16</w:t>
      </w:r>
      <w:r w:rsidR="00522C92">
        <w:rPr>
          <w:rFonts w:eastAsia="Times New Roman"/>
          <w:szCs w:val="24"/>
          <w:lang w:eastAsia="ru-RU"/>
        </w:rPr>
        <w:t xml:space="preserve">-й ‒ </w:t>
      </w:r>
      <w:r w:rsidRPr="00C37E76">
        <w:rPr>
          <w:rFonts w:eastAsia="Times New Roman"/>
          <w:szCs w:val="24"/>
        </w:rPr>
        <w:t>последующие циклы.</w:t>
      </w:r>
    </w:p>
    <w:p w:rsidR="000546DA" w:rsidRPr="00C37E76" w:rsidRDefault="000546DA" w:rsidP="00131E36">
      <w:pPr>
        <w:spacing w:before="0" w:after="0"/>
        <w:contextualSpacing/>
        <w:rPr>
          <w:rFonts w:eastAsia="Times New Roman"/>
          <w:szCs w:val="24"/>
        </w:rPr>
      </w:pPr>
      <w:r w:rsidRPr="00C37E76">
        <w:rPr>
          <w:rFonts w:eastAsia="Times New Roman"/>
          <w:szCs w:val="24"/>
        </w:rPr>
        <w:t>Лечение возобновляется на 29</w:t>
      </w:r>
      <w:r w:rsidR="00522C92">
        <w:rPr>
          <w:rFonts w:eastAsia="Times New Roman"/>
          <w:szCs w:val="24"/>
          <w:lang w:eastAsia="ru-RU"/>
        </w:rPr>
        <w:t>-й</w:t>
      </w:r>
      <w:r w:rsidRPr="00C37E76">
        <w:rPr>
          <w:rFonts w:eastAsia="Times New Roman"/>
          <w:szCs w:val="24"/>
        </w:rPr>
        <w:t xml:space="preserve"> день.</w:t>
      </w:r>
    </w:p>
    <w:p w:rsidR="000546DA" w:rsidRPr="00C37E76" w:rsidRDefault="000546DA" w:rsidP="00131E36">
      <w:pPr>
        <w:pStyle w:val="a5"/>
        <w:spacing w:before="0" w:after="0"/>
        <w:ind w:left="0"/>
        <w:rPr>
          <w:rFonts w:eastAsia="Times New Roman"/>
          <w:szCs w:val="24"/>
        </w:rPr>
      </w:pPr>
      <w:r w:rsidRPr="00C37E76">
        <w:rPr>
          <w:rFonts w:eastAsia="Times New Roman"/>
          <w:szCs w:val="24"/>
        </w:rPr>
        <w:t>Лечение продолжают до прогрессирования или развития неприемлемой токсичности</w:t>
      </w:r>
      <w:r w:rsidR="00522C92">
        <w:rPr>
          <w:rFonts w:eastAsia="Times New Roman"/>
          <w:szCs w:val="24"/>
        </w:rPr>
        <w:t>.</w:t>
      </w:r>
    </w:p>
    <w:p w:rsidR="000546DA" w:rsidRPr="00D62DF3" w:rsidRDefault="000546DA" w:rsidP="00131E36">
      <w:pPr>
        <w:spacing w:before="0" w:after="0"/>
        <w:contextualSpacing/>
        <w:rPr>
          <w:rFonts w:eastAsia="Times New Roman"/>
          <w:b/>
          <w:szCs w:val="24"/>
        </w:rPr>
      </w:pPr>
      <w:r w:rsidRPr="00C37E76">
        <w:rPr>
          <w:rFonts w:eastAsia="Times New Roman"/>
          <w:b/>
          <w:szCs w:val="24"/>
        </w:rPr>
        <w:t>К</w:t>
      </w:r>
      <w:r w:rsidRPr="00C37E76">
        <w:rPr>
          <w:rFonts w:eastAsia="Times New Roman"/>
          <w:b/>
          <w:szCs w:val="24"/>
          <w:lang w:val="en-US"/>
        </w:rPr>
        <w:t>d</w:t>
      </w:r>
      <w:r w:rsidR="00315D6A">
        <w:rPr>
          <w:rFonts w:eastAsia="Times New Roman"/>
          <w:b/>
          <w:szCs w:val="24"/>
        </w:rPr>
        <w:t xml:space="preserve"> </w:t>
      </w:r>
      <w:r w:rsidR="00315D6A">
        <w:rPr>
          <w:rFonts w:eastAsia="Times New Roman"/>
          <w:b/>
          <w:szCs w:val="24"/>
        </w:rPr>
        <w:fldChar w:fldCharType="begin" w:fldLock="1"/>
      </w:r>
      <w:r w:rsidR="00315D6A">
        <w:rPr>
          <w:rFonts w:eastAsia="Times New Roman"/>
          <w:b/>
          <w:szCs w:val="24"/>
        </w:rPr>
        <w:instrText>ADDIN CSL_CITATION {"citationItems":[{"id":"ITEM-1","itemData":{"DOI":"10.1016/S1470-2045(17)30578-8","ISSN":"14745488","abstract":"Background The phase 3 ENDEAVOR trial was a head-to-head comparison of two proteasome inhibitors in patients with relapsed or refractory multiple myeloma. Progression-free survival was previously reported to be significantly longer with carfilzomib administered in combination with dexamethasone than with bortezomib and dexamethasone in an interim analysis. The aim of this second interim analysis was to compare overall survival between the two treatment groups. Methods ENDEAVOR was a phase 3, open-label, randomised controlled trial in patients with relapsed or refractory multiple myeloma. Patients were recruited from 198 hospitals and outpatient clinics in 27 countries in Europe, North America, South America, and the Asia-Pacific region. Patients were aged 18 years or older, had relapsed or refractory multiple myeloma, and had received between one and three previous lines of therapy. Patients were randomly assigned (1:1) to receive carfilzomib and dexamethasone (carfilzomib group) or bortezomib and dexamethasone (bortezomib group) through a blocked randomisation scheme (block size of four), stratified by International Staging System stage, previous lines of treatment, previous proteasome inhibitor therapy, and planned route of bortezomib delivery if assigned to the bortezomib group. Carfilzomib (20 mg/m2 on days 1 and 2 of cycle 1; 56 mg/m2 thereafter) was given as a 30-min intravenous infusion on days 1, 2, 8, 9, 15, and 16 of 28-day cycles; bortezomib (1·3 mg/m2) was given as an intravenous bolus or subcutaneous injection on days 1, 4, 8, and 11 of 21-day cycles. Dexamethasone (20 mg oral or intravenous infusion) was given on days 1, 2, 8, 9, 15, 16, 22, and 23 in the carfilzomib group and on days 1, 2, 4, 5, 8, 9, 11, and 12 in the bortezomib group. The primary endpoint of ENDEAVOR, progression-free survival, has been previously reported. A stratified log-rank test was used to compare overall survival between treatment groups for this prospectively planned second interim analysis. Efficacy assessments were done in all randomly assigned patients (the intention-to-treat population) and the safety analysis included patients who received at least one dose of study treatment. This trial is registered with ClinicalTrials.gov, number NCT01568866, and is no longer enrolling patients. Findings Between June 20, 2012, and June 30, 2014, 1096 patients were assessed for eligibility, of whom 929 were randomly assigned (464 to the carfilzomib group and 465 to the bo…","author":[{"dropping-particle":"","family":"Dimopoulos","given":"Meletios A.","non-dropping-particle":"","parse-names":false,"suffix":""},{"dropping-particle":"","family":"Goldschmidt","given":"Hartmut","non-dropping-particle":"","parse-names":false,"suffix":""},{"dropping-particle":"","family":"Niesvizky","given":"Ruben","non-dropping-particle":"","parse-names":false,"suffix":""},{"dropping-particle":"","family":"Joshua","given":"Douglas","non-dropping-particle":"","parse-names":false,"suffix":""},{"dropping-particle":"","family":"Chng","given":"Wee Joo","non-dropping-particle":"","parse-names":false,"suffix":""},{"dropping-particle":"","family":"Oriol","given":"Albert","non-dropping-particle":"","parse-names":false,"suffix":""},{"dropping-particle":"","family":"Orlowski","given":"Robert Z.","non-dropping-particle":"","parse-names":false,"suffix":""},{"dropping-particle":"","family":"Ludwig","given":"Heinz","non-dropping-particle":"","parse-names":false,"suffix":""},{"dropping-particle":"","family":"Facon","given":"Thierry","non-dropping-particle":"","parse-names":false,"suffix":""},{"dropping-particle":"","family":"Hajek","given":"Roman","non-dropping-particle":"","parse-names":false,"suffix":""},{"dropping-particle":"","family":"Weisel","given":"Katja","non-dropping-particle":"","parse-names":false,"suffix":""},{"dropping-particle":"","family":"Hungria","given":"Vania","non-dropping-particle":"","parse-names":false,"suffix":""},{"dropping-particle":"","family":"Minuk","given":"Leonard","non-dropping-particle":"","parse-names":false,"suffix":""},{"dropping-particle":"","family":"Feng","given":"Shibao","non-dropping-particle":"","parse-names":false,"suffix":""},{"dropping-particle":"","family":"Zahlten-Kumeli","given":"Anita","non-dropping-particle":"","parse-names":false,"suffix":""},{"dropping-particle":"","family":"Kimball","given":"Amy S.","non-dropping-particle":"","parse-names":false,"suffix":""},{"dropping-particle":"","family":"Moreau","given":"Philippe","non-dropping-particle":"","parse-names":false,"suffix":""}],"container-title":"The Lancet Oncology","id":"ITEM-1","issue":"10","issued":{"date-parts":[["2017","10","1"]]},"page":"1327-1337","publisher":"Lancet Publishing Group","title":"Carfilzomib or bortezomib in relapsed or refractory multiple myeloma (ENDEAVOR): an interim overall survival analysis of an open-label, randomised, phase 3 trial","type":"article-journal","volume":"18"},"uris":["http://www.mendeley.com/documents/?uuid=976186ac-156b-337b-a43f-69fd2ae8697c"]}],"mendeley":{"formattedCitation":"[79]","plainTextFormattedCitation":"[79]"},"properties":{"noteIndex":0},"schema":"https://github.com/citation-style-language/schema/raw/master/csl-citation.json"}</w:instrText>
      </w:r>
      <w:r w:rsidR="00315D6A">
        <w:rPr>
          <w:rFonts w:eastAsia="Times New Roman"/>
          <w:b/>
          <w:szCs w:val="24"/>
        </w:rPr>
        <w:fldChar w:fldCharType="separate"/>
      </w:r>
      <w:r w:rsidR="00315D6A" w:rsidRPr="00315D6A">
        <w:rPr>
          <w:rFonts w:eastAsia="Times New Roman"/>
          <w:noProof/>
          <w:szCs w:val="24"/>
        </w:rPr>
        <w:t>[79]</w:t>
      </w:r>
      <w:r w:rsidR="00315D6A">
        <w:rPr>
          <w:rFonts w:eastAsia="Times New Roman"/>
          <w:b/>
          <w:szCs w:val="24"/>
        </w:rPr>
        <w:fldChar w:fldCharType="end"/>
      </w:r>
    </w:p>
    <w:p w:rsidR="000546DA" w:rsidRPr="00E93D36" w:rsidRDefault="000546DA" w:rsidP="002F2D5C">
      <w:pPr>
        <w:pStyle w:val="a5"/>
        <w:numPr>
          <w:ilvl w:val="0"/>
          <w:numId w:val="42"/>
        </w:numPr>
        <w:suppressAutoHyphens/>
        <w:spacing w:before="0" w:after="0"/>
        <w:jc w:val="left"/>
        <w:rPr>
          <w:rFonts w:eastAsia="Times New Roman"/>
          <w:szCs w:val="24"/>
        </w:rPr>
      </w:pPr>
      <w:r w:rsidRPr="00E93D36">
        <w:rPr>
          <w:rFonts w:eastAsia="Times New Roman"/>
          <w:szCs w:val="24"/>
        </w:rPr>
        <w:t>Карфилзомиб</w:t>
      </w:r>
      <w:r>
        <w:rPr>
          <w:rFonts w:eastAsia="Times New Roman"/>
          <w:szCs w:val="24"/>
          <w:lang w:eastAsia="ru-RU"/>
        </w:rPr>
        <w:t>**</w:t>
      </w:r>
      <w:r w:rsidRPr="00E93D36">
        <w:rPr>
          <w:rFonts w:eastAsia="Times New Roman"/>
          <w:szCs w:val="24"/>
        </w:rPr>
        <w:t xml:space="preserve"> 56 мг/м</w:t>
      </w:r>
      <w:r w:rsidRPr="00E93D36">
        <w:rPr>
          <w:rFonts w:eastAsia="Times New Roman"/>
          <w:szCs w:val="24"/>
          <w:vertAlign w:val="superscript"/>
        </w:rPr>
        <w:t>2</w:t>
      </w:r>
      <w:r w:rsidRPr="00E93D36">
        <w:rPr>
          <w:rFonts w:eastAsia="Times New Roman"/>
          <w:szCs w:val="24"/>
        </w:rPr>
        <w:t xml:space="preserve"> в/в, дни 1, 2, 8, 9, 15, 16</w:t>
      </w:r>
      <w:r w:rsidR="00522C92">
        <w:rPr>
          <w:rFonts w:eastAsia="Times New Roman"/>
          <w:szCs w:val="24"/>
          <w:lang w:eastAsia="ru-RU"/>
        </w:rPr>
        <w:t>-й</w:t>
      </w:r>
      <w:r w:rsidRPr="00E93D36">
        <w:rPr>
          <w:rFonts w:eastAsia="Times New Roman"/>
          <w:szCs w:val="24"/>
        </w:rPr>
        <w:t xml:space="preserve"> (20 мг/м</w:t>
      </w:r>
      <w:r w:rsidRPr="00E93D36">
        <w:rPr>
          <w:rFonts w:eastAsia="Times New Roman"/>
          <w:szCs w:val="24"/>
          <w:vertAlign w:val="superscript"/>
        </w:rPr>
        <w:t xml:space="preserve">2 </w:t>
      </w:r>
      <w:r w:rsidRPr="00E93D36">
        <w:rPr>
          <w:rFonts w:eastAsia="Times New Roman"/>
          <w:szCs w:val="24"/>
        </w:rPr>
        <w:t>в дни 1,</w:t>
      </w:r>
      <w:r w:rsidR="00522C92">
        <w:rPr>
          <w:rFonts w:eastAsia="Times New Roman"/>
          <w:szCs w:val="24"/>
        </w:rPr>
        <w:t xml:space="preserve"> </w:t>
      </w:r>
      <w:r w:rsidRPr="00E93D36">
        <w:rPr>
          <w:rFonts w:eastAsia="Times New Roman"/>
          <w:szCs w:val="24"/>
        </w:rPr>
        <w:t>2</w:t>
      </w:r>
      <w:r w:rsidR="00522C92">
        <w:rPr>
          <w:rFonts w:eastAsia="Times New Roman"/>
          <w:szCs w:val="24"/>
        </w:rPr>
        <w:t>-й</w:t>
      </w:r>
      <w:r w:rsidRPr="00E93D36">
        <w:rPr>
          <w:rFonts w:eastAsia="Times New Roman"/>
          <w:szCs w:val="24"/>
        </w:rPr>
        <w:t xml:space="preserve"> </w:t>
      </w:r>
      <w:r w:rsidR="00522C92">
        <w:rPr>
          <w:rFonts w:eastAsia="Times New Roman"/>
          <w:szCs w:val="24"/>
        </w:rPr>
        <w:t>1-</w:t>
      </w:r>
      <w:r w:rsidRPr="00E93D36">
        <w:rPr>
          <w:rFonts w:eastAsia="Times New Roman"/>
          <w:szCs w:val="24"/>
        </w:rPr>
        <w:t xml:space="preserve">го цикла) </w:t>
      </w:r>
    </w:p>
    <w:p w:rsidR="000546DA" w:rsidRPr="00E93D36" w:rsidRDefault="000546DA" w:rsidP="002F2D5C">
      <w:pPr>
        <w:pStyle w:val="a5"/>
        <w:numPr>
          <w:ilvl w:val="0"/>
          <w:numId w:val="42"/>
        </w:numPr>
        <w:suppressAutoHyphens/>
        <w:spacing w:before="0" w:after="0"/>
        <w:jc w:val="left"/>
        <w:rPr>
          <w:rFonts w:eastAsia="Times New Roman"/>
          <w:szCs w:val="24"/>
        </w:rPr>
      </w:pPr>
      <w:r w:rsidRPr="00E93D36">
        <w:rPr>
          <w:rFonts w:eastAsia="Times New Roman"/>
          <w:szCs w:val="24"/>
        </w:rPr>
        <w:t>Дексаметазон</w:t>
      </w:r>
      <w:r>
        <w:rPr>
          <w:rFonts w:eastAsia="Times New Roman"/>
          <w:szCs w:val="24"/>
          <w:lang w:eastAsia="ru-RU"/>
        </w:rPr>
        <w:t>**</w:t>
      </w:r>
      <w:r w:rsidRPr="00E93D36">
        <w:rPr>
          <w:rFonts w:eastAsia="Times New Roman"/>
          <w:szCs w:val="24"/>
        </w:rPr>
        <w:t xml:space="preserve"> 20 мг в дни 1, 2, 8, 9, 15, 16, 22, 23</w:t>
      </w:r>
      <w:r w:rsidR="00522C92">
        <w:rPr>
          <w:rFonts w:eastAsia="Times New Roman"/>
          <w:szCs w:val="24"/>
          <w:lang w:eastAsia="ru-RU"/>
        </w:rPr>
        <w:t>-й</w:t>
      </w:r>
    </w:p>
    <w:p w:rsidR="000546DA" w:rsidRPr="00C37E76" w:rsidRDefault="000546DA" w:rsidP="00131E36">
      <w:pPr>
        <w:suppressAutoHyphens/>
        <w:spacing w:before="0" w:after="0"/>
        <w:contextualSpacing/>
        <w:rPr>
          <w:rFonts w:eastAsia="Times New Roman"/>
          <w:szCs w:val="24"/>
        </w:rPr>
      </w:pPr>
      <w:r w:rsidRPr="00C37E76">
        <w:rPr>
          <w:rFonts w:eastAsia="Times New Roman"/>
          <w:szCs w:val="24"/>
        </w:rPr>
        <w:t>Лечение возобновляется на 29</w:t>
      </w:r>
      <w:r w:rsidR="00522C92">
        <w:rPr>
          <w:rFonts w:eastAsia="Times New Roman"/>
          <w:szCs w:val="24"/>
          <w:lang w:eastAsia="ru-RU"/>
        </w:rPr>
        <w:t>-й</w:t>
      </w:r>
      <w:r w:rsidRPr="00C37E76">
        <w:rPr>
          <w:rFonts w:eastAsia="Times New Roman"/>
          <w:szCs w:val="24"/>
        </w:rPr>
        <w:t xml:space="preserve"> день.</w:t>
      </w:r>
    </w:p>
    <w:p w:rsidR="000546DA" w:rsidRPr="00C37E76" w:rsidRDefault="000546DA" w:rsidP="00131E36">
      <w:pPr>
        <w:suppressAutoHyphens/>
        <w:spacing w:before="0" w:after="0"/>
        <w:contextualSpacing/>
        <w:rPr>
          <w:rFonts w:eastAsia="Times New Roman"/>
          <w:szCs w:val="24"/>
        </w:rPr>
      </w:pPr>
      <w:r w:rsidRPr="00C37E76">
        <w:rPr>
          <w:rFonts w:eastAsia="Times New Roman"/>
          <w:szCs w:val="24"/>
        </w:rPr>
        <w:t>Лечение продолжают до прогрессирования или развития неприемлемой токсичности</w:t>
      </w:r>
      <w:r w:rsidR="00522C92">
        <w:rPr>
          <w:rFonts w:eastAsia="Times New Roman"/>
          <w:szCs w:val="24"/>
        </w:rPr>
        <w:t>.</w:t>
      </w:r>
    </w:p>
    <w:p w:rsidR="000546DA" w:rsidRPr="00C37E76" w:rsidRDefault="000546DA" w:rsidP="00131E36">
      <w:pPr>
        <w:spacing w:before="0" w:after="0"/>
        <w:contextualSpacing/>
        <w:rPr>
          <w:rFonts w:eastAsia="Times New Roman"/>
          <w:b/>
          <w:szCs w:val="24"/>
        </w:rPr>
      </w:pPr>
      <w:r w:rsidRPr="00C37E76">
        <w:rPr>
          <w:rFonts w:eastAsia="Times New Roman"/>
          <w:b/>
          <w:szCs w:val="24"/>
        </w:rPr>
        <w:t>KRd</w:t>
      </w:r>
    </w:p>
    <w:p w:rsidR="000546DA" w:rsidRPr="00E93D36" w:rsidRDefault="000546DA" w:rsidP="002F2D5C">
      <w:pPr>
        <w:pStyle w:val="a5"/>
        <w:numPr>
          <w:ilvl w:val="0"/>
          <w:numId w:val="43"/>
        </w:numPr>
        <w:suppressAutoHyphens/>
        <w:spacing w:before="0" w:after="0"/>
        <w:jc w:val="left"/>
        <w:rPr>
          <w:rFonts w:eastAsia="Times New Roman"/>
          <w:szCs w:val="24"/>
        </w:rPr>
      </w:pPr>
      <w:r w:rsidRPr="00E93D36">
        <w:rPr>
          <w:rFonts w:eastAsia="Times New Roman"/>
          <w:szCs w:val="24"/>
        </w:rPr>
        <w:t>Карфилзомиб</w:t>
      </w:r>
      <w:r>
        <w:rPr>
          <w:rFonts w:eastAsia="Times New Roman"/>
          <w:szCs w:val="24"/>
          <w:lang w:eastAsia="ru-RU"/>
        </w:rPr>
        <w:t>**</w:t>
      </w:r>
      <w:r w:rsidRPr="00E93D36">
        <w:rPr>
          <w:rFonts w:eastAsia="Times New Roman"/>
          <w:szCs w:val="24"/>
        </w:rPr>
        <w:t xml:space="preserve">     20 мг/м</w:t>
      </w:r>
      <w:r w:rsidRPr="00E93D36">
        <w:rPr>
          <w:rFonts w:eastAsia="Times New Roman"/>
          <w:szCs w:val="24"/>
          <w:vertAlign w:val="superscript"/>
        </w:rPr>
        <w:t>2</w:t>
      </w:r>
      <w:r w:rsidRPr="00E93D36">
        <w:rPr>
          <w:rFonts w:eastAsia="Times New Roman"/>
          <w:szCs w:val="24"/>
        </w:rPr>
        <w:t xml:space="preserve"> в/в, дни 1, 2</w:t>
      </w:r>
      <w:r w:rsidR="00522C92">
        <w:rPr>
          <w:rFonts w:eastAsia="Times New Roman"/>
          <w:szCs w:val="24"/>
          <w:lang w:eastAsia="ru-RU"/>
        </w:rPr>
        <w:t>-й</w:t>
      </w:r>
      <w:r w:rsidRPr="00E93D36">
        <w:rPr>
          <w:rFonts w:eastAsia="Times New Roman"/>
          <w:szCs w:val="24"/>
        </w:rPr>
        <w:t>, далее в дозе 27 мг/м</w:t>
      </w:r>
      <w:r w:rsidRPr="00E93D36">
        <w:rPr>
          <w:rFonts w:eastAsia="Times New Roman"/>
          <w:szCs w:val="24"/>
          <w:vertAlign w:val="superscript"/>
        </w:rPr>
        <w:t>2</w:t>
      </w:r>
      <w:r w:rsidRPr="00E93D36">
        <w:rPr>
          <w:rFonts w:eastAsia="Times New Roman"/>
          <w:szCs w:val="24"/>
        </w:rPr>
        <w:t>, дни 8, 9, 15, 16</w:t>
      </w:r>
      <w:r w:rsidR="00522C92">
        <w:rPr>
          <w:rFonts w:eastAsia="Times New Roman"/>
          <w:szCs w:val="24"/>
          <w:lang w:eastAsia="ru-RU"/>
        </w:rPr>
        <w:t>-й</w:t>
      </w:r>
      <w:r w:rsidRPr="00E93D36">
        <w:rPr>
          <w:rFonts w:eastAsia="Times New Roman"/>
          <w:szCs w:val="24"/>
        </w:rPr>
        <w:t xml:space="preserve"> только в 1-</w:t>
      </w:r>
      <w:r w:rsidR="00522C92">
        <w:rPr>
          <w:rFonts w:eastAsia="Times New Roman"/>
          <w:szCs w:val="24"/>
        </w:rPr>
        <w:t>м цикле</w:t>
      </w:r>
    </w:p>
    <w:p w:rsidR="000546DA" w:rsidRPr="00E93D36" w:rsidRDefault="000546DA" w:rsidP="002F2D5C">
      <w:pPr>
        <w:pStyle w:val="a5"/>
        <w:numPr>
          <w:ilvl w:val="3"/>
          <w:numId w:val="43"/>
        </w:numPr>
        <w:suppressAutoHyphens/>
        <w:spacing w:before="0" w:after="0"/>
        <w:rPr>
          <w:rFonts w:eastAsia="Times New Roman"/>
          <w:szCs w:val="24"/>
        </w:rPr>
      </w:pPr>
      <w:r w:rsidRPr="00E93D36">
        <w:rPr>
          <w:rFonts w:eastAsia="Times New Roman"/>
          <w:szCs w:val="24"/>
        </w:rPr>
        <w:t>в дозе 27 мг/м</w:t>
      </w:r>
      <w:r w:rsidRPr="00E93D36">
        <w:rPr>
          <w:rFonts w:eastAsia="Times New Roman"/>
          <w:szCs w:val="24"/>
          <w:vertAlign w:val="superscript"/>
        </w:rPr>
        <w:t>2</w:t>
      </w:r>
      <w:r w:rsidRPr="00E93D36">
        <w:rPr>
          <w:rFonts w:eastAsia="Times New Roman"/>
          <w:szCs w:val="24"/>
        </w:rPr>
        <w:t xml:space="preserve"> в дни 1, 2, 8, 9, 15, 16</w:t>
      </w:r>
      <w:r w:rsidR="00522C92">
        <w:rPr>
          <w:rFonts w:eastAsia="Times New Roman"/>
          <w:szCs w:val="24"/>
          <w:lang w:eastAsia="ru-RU"/>
        </w:rPr>
        <w:t>-й</w:t>
      </w:r>
      <w:r w:rsidRPr="00E93D36">
        <w:rPr>
          <w:rFonts w:eastAsia="Times New Roman"/>
          <w:szCs w:val="24"/>
        </w:rPr>
        <w:t xml:space="preserve"> в циклах 2</w:t>
      </w:r>
      <w:r w:rsidR="00522C92">
        <w:rPr>
          <w:rFonts w:eastAsia="Times New Roman"/>
          <w:szCs w:val="24"/>
        </w:rPr>
        <w:t>‒</w:t>
      </w:r>
      <w:r w:rsidRPr="00E93D36">
        <w:rPr>
          <w:rFonts w:eastAsia="Times New Roman"/>
          <w:szCs w:val="24"/>
        </w:rPr>
        <w:t xml:space="preserve">12. </w:t>
      </w:r>
    </w:p>
    <w:p w:rsidR="000546DA" w:rsidRPr="00E93D36" w:rsidRDefault="000546DA" w:rsidP="002F2D5C">
      <w:pPr>
        <w:pStyle w:val="a5"/>
        <w:numPr>
          <w:ilvl w:val="3"/>
          <w:numId w:val="43"/>
        </w:numPr>
        <w:suppressAutoHyphens/>
        <w:spacing w:before="0" w:after="0"/>
        <w:rPr>
          <w:rFonts w:eastAsia="Times New Roman"/>
          <w:szCs w:val="24"/>
        </w:rPr>
      </w:pPr>
      <w:r w:rsidRPr="00E93D36">
        <w:rPr>
          <w:rFonts w:eastAsia="Times New Roman"/>
          <w:szCs w:val="24"/>
        </w:rPr>
        <w:t>Начиная с цикла 13</w:t>
      </w:r>
      <w:r w:rsidR="00522C92">
        <w:rPr>
          <w:rFonts w:eastAsia="Times New Roman"/>
          <w:szCs w:val="24"/>
        </w:rPr>
        <w:t>-го</w:t>
      </w:r>
      <w:r w:rsidRPr="00E93D36">
        <w:rPr>
          <w:rFonts w:eastAsia="Times New Roman"/>
          <w:szCs w:val="24"/>
        </w:rPr>
        <w:t xml:space="preserve"> в дозе 27 мг/м</w:t>
      </w:r>
      <w:r w:rsidRPr="00E93D36">
        <w:rPr>
          <w:rFonts w:eastAsia="Times New Roman"/>
          <w:szCs w:val="24"/>
          <w:vertAlign w:val="superscript"/>
        </w:rPr>
        <w:t>2</w:t>
      </w:r>
      <w:r w:rsidRPr="00E93D36">
        <w:rPr>
          <w:rFonts w:eastAsia="Times New Roman"/>
          <w:szCs w:val="24"/>
        </w:rPr>
        <w:t xml:space="preserve"> в дни 1, 2, 15, 16</w:t>
      </w:r>
      <w:r w:rsidR="00522C92">
        <w:rPr>
          <w:rFonts w:eastAsia="Times New Roman"/>
          <w:szCs w:val="24"/>
          <w:lang w:eastAsia="ru-RU"/>
        </w:rPr>
        <w:t>-й</w:t>
      </w:r>
      <w:r w:rsidRPr="00E93D36">
        <w:rPr>
          <w:rFonts w:eastAsia="Times New Roman"/>
          <w:szCs w:val="24"/>
        </w:rPr>
        <w:t xml:space="preserve">. </w:t>
      </w:r>
    </w:p>
    <w:p w:rsidR="000546DA" w:rsidRPr="00E93D36" w:rsidRDefault="000546DA" w:rsidP="002F2D5C">
      <w:pPr>
        <w:pStyle w:val="a5"/>
        <w:numPr>
          <w:ilvl w:val="0"/>
          <w:numId w:val="43"/>
        </w:numPr>
        <w:suppressAutoHyphens/>
        <w:spacing w:before="0" w:after="0"/>
        <w:jc w:val="left"/>
        <w:rPr>
          <w:rFonts w:eastAsia="Times New Roman"/>
          <w:szCs w:val="24"/>
        </w:rPr>
      </w:pPr>
      <w:r w:rsidRPr="00E93D36">
        <w:rPr>
          <w:rFonts w:eastAsia="Times New Roman"/>
          <w:szCs w:val="24"/>
        </w:rPr>
        <w:t>Леналидомид</w:t>
      </w:r>
      <w:r>
        <w:rPr>
          <w:rFonts w:eastAsia="Times New Roman"/>
          <w:szCs w:val="24"/>
          <w:lang w:eastAsia="ru-RU"/>
        </w:rPr>
        <w:t>**</w:t>
      </w:r>
      <w:r w:rsidRPr="00E93D36">
        <w:rPr>
          <w:rFonts w:eastAsia="Times New Roman"/>
          <w:szCs w:val="24"/>
        </w:rPr>
        <w:t xml:space="preserve">   25 мг внутрь, дни 1</w:t>
      </w:r>
      <w:r w:rsidR="00522C92">
        <w:rPr>
          <w:rFonts w:eastAsia="Times New Roman"/>
          <w:szCs w:val="24"/>
        </w:rPr>
        <w:t>‒</w:t>
      </w:r>
      <w:r w:rsidRPr="00E93D36">
        <w:rPr>
          <w:rFonts w:eastAsia="Times New Roman"/>
          <w:szCs w:val="24"/>
        </w:rPr>
        <w:t>21</w:t>
      </w:r>
      <w:r w:rsidR="00522C92">
        <w:rPr>
          <w:rFonts w:eastAsia="Times New Roman"/>
          <w:szCs w:val="24"/>
          <w:lang w:eastAsia="ru-RU"/>
        </w:rPr>
        <w:t>-й</w:t>
      </w:r>
    </w:p>
    <w:p w:rsidR="000546DA" w:rsidRPr="00C37E76" w:rsidRDefault="000546DA" w:rsidP="002F2D5C">
      <w:pPr>
        <w:pStyle w:val="3"/>
        <w:numPr>
          <w:ilvl w:val="0"/>
          <w:numId w:val="43"/>
        </w:numPr>
        <w:suppressAutoHyphens/>
        <w:spacing w:line="360" w:lineRule="auto"/>
        <w:contextualSpacing/>
        <w:jc w:val="left"/>
        <w:rPr>
          <w:rFonts w:eastAsia="Times New Roman"/>
        </w:rPr>
      </w:pPr>
      <w:r w:rsidRPr="00C37E76">
        <w:rPr>
          <w:rFonts w:eastAsia="Times New Roman"/>
        </w:rPr>
        <w:t>Дексаметазон</w:t>
      </w:r>
      <w:r>
        <w:rPr>
          <w:rFonts w:eastAsia="Times New Roman"/>
        </w:rPr>
        <w:t>**</w:t>
      </w:r>
      <w:r w:rsidRPr="00C37E76">
        <w:rPr>
          <w:rFonts w:eastAsia="Times New Roman"/>
        </w:rPr>
        <w:t xml:space="preserve"> 40 мг внутрь или в/в, дни 1, 8, 15, 22</w:t>
      </w:r>
      <w:r w:rsidR="00522C92">
        <w:rPr>
          <w:rFonts w:eastAsia="Times New Roman"/>
        </w:rPr>
        <w:t>-й</w:t>
      </w:r>
    </w:p>
    <w:p w:rsidR="000546DA" w:rsidRPr="00C37E76" w:rsidRDefault="000546DA" w:rsidP="00131E36">
      <w:pPr>
        <w:spacing w:before="0" w:after="0"/>
        <w:contextualSpacing/>
        <w:rPr>
          <w:rFonts w:eastAsia="Times New Roman"/>
          <w:szCs w:val="24"/>
        </w:rPr>
      </w:pPr>
      <w:r w:rsidRPr="00C37E76">
        <w:rPr>
          <w:rFonts w:eastAsia="Times New Roman"/>
          <w:szCs w:val="24"/>
        </w:rPr>
        <w:t>Лечение возобновляется на 29</w:t>
      </w:r>
      <w:r w:rsidR="00522C92">
        <w:rPr>
          <w:rFonts w:eastAsia="Times New Roman"/>
          <w:szCs w:val="24"/>
          <w:lang w:eastAsia="ru-RU"/>
        </w:rPr>
        <w:t>-й</w:t>
      </w:r>
      <w:r w:rsidRPr="00C37E76">
        <w:rPr>
          <w:rFonts w:eastAsia="Times New Roman"/>
          <w:szCs w:val="24"/>
        </w:rPr>
        <w:t xml:space="preserve"> день</w:t>
      </w:r>
      <w:r w:rsidR="00522C92">
        <w:rPr>
          <w:rFonts w:eastAsia="Times New Roman"/>
          <w:szCs w:val="24"/>
        </w:rPr>
        <w:t>.</w:t>
      </w:r>
    </w:p>
    <w:p w:rsidR="000546DA" w:rsidRPr="00C37E76" w:rsidRDefault="000546DA" w:rsidP="00131E36">
      <w:pPr>
        <w:pStyle w:val="a5"/>
        <w:spacing w:before="0" w:after="0"/>
        <w:ind w:left="0"/>
        <w:rPr>
          <w:rFonts w:eastAsia="Times New Roman"/>
          <w:szCs w:val="24"/>
        </w:rPr>
      </w:pPr>
      <w:r w:rsidRPr="00C37E76">
        <w:rPr>
          <w:rFonts w:eastAsia="Times New Roman"/>
          <w:szCs w:val="24"/>
        </w:rPr>
        <w:t>Лечение продолжают до прогрессирования или развития неприемлемой токсичности</w:t>
      </w:r>
      <w:r w:rsidR="00522C92">
        <w:rPr>
          <w:rFonts w:eastAsia="Times New Roman"/>
          <w:szCs w:val="24"/>
        </w:rPr>
        <w:t>.</w:t>
      </w:r>
    </w:p>
    <w:p w:rsidR="000546DA" w:rsidRPr="00C37E76" w:rsidRDefault="000546DA" w:rsidP="00131E36">
      <w:pPr>
        <w:spacing w:before="0" w:after="0"/>
        <w:contextualSpacing/>
        <w:rPr>
          <w:rFonts w:eastAsia="Times New Roman"/>
          <w:b/>
          <w:szCs w:val="24"/>
        </w:rPr>
      </w:pPr>
      <w:r w:rsidRPr="00C37E76">
        <w:rPr>
          <w:rFonts w:eastAsia="Times New Roman"/>
          <w:b/>
          <w:szCs w:val="24"/>
        </w:rPr>
        <w:t>IxaRd</w:t>
      </w:r>
    </w:p>
    <w:p w:rsidR="000546DA" w:rsidRPr="00C37E76" w:rsidRDefault="000546DA" w:rsidP="002F2D5C">
      <w:pPr>
        <w:pStyle w:val="af6"/>
        <w:numPr>
          <w:ilvl w:val="0"/>
          <w:numId w:val="44"/>
        </w:numPr>
        <w:spacing w:after="0" w:line="360" w:lineRule="auto"/>
        <w:contextualSpacing/>
      </w:pPr>
      <w:r w:rsidRPr="00C37E76">
        <w:t>Иксазомиб</w:t>
      </w:r>
      <w:r>
        <w:rPr>
          <w:lang w:eastAsia="ru-RU"/>
        </w:rPr>
        <w:t>**</w:t>
      </w:r>
      <w:r w:rsidRPr="00C37E76">
        <w:t xml:space="preserve"> 4 мг внутрь, дни 1,</w:t>
      </w:r>
      <w:r w:rsidR="00522C92">
        <w:t xml:space="preserve"> </w:t>
      </w:r>
      <w:r w:rsidRPr="00C37E76">
        <w:t>8,</w:t>
      </w:r>
      <w:r w:rsidR="00522C92">
        <w:t xml:space="preserve"> </w:t>
      </w:r>
      <w:r w:rsidRPr="00C37E76">
        <w:t>15</w:t>
      </w:r>
      <w:r w:rsidR="00522C92">
        <w:rPr>
          <w:lang w:eastAsia="ru-RU"/>
        </w:rPr>
        <w:t>-й</w:t>
      </w:r>
    </w:p>
    <w:p w:rsidR="000546DA" w:rsidRPr="00C37E76" w:rsidRDefault="000546DA" w:rsidP="002F2D5C">
      <w:pPr>
        <w:pStyle w:val="af6"/>
        <w:numPr>
          <w:ilvl w:val="0"/>
          <w:numId w:val="44"/>
        </w:numPr>
        <w:spacing w:after="0" w:line="360" w:lineRule="auto"/>
        <w:contextualSpacing/>
      </w:pPr>
      <w:r w:rsidRPr="00C37E76">
        <w:t>Леналидомид</w:t>
      </w:r>
      <w:r>
        <w:rPr>
          <w:lang w:eastAsia="ru-RU"/>
        </w:rPr>
        <w:t>**</w:t>
      </w:r>
      <w:r w:rsidRPr="00C37E76">
        <w:t xml:space="preserve"> 25 мг внутрь, дни 1</w:t>
      </w:r>
      <w:r w:rsidR="00522C92">
        <w:t>‒</w:t>
      </w:r>
      <w:r w:rsidRPr="00C37E76">
        <w:t>21</w:t>
      </w:r>
      <w:r w:rsidR="00522C92">
        <w:rPr>
          <w:lang w:eastAsia="ru-RU"/>
        </w:rPr>
        <w:t>-й</w:t>
      </w:r>
    </w:p>
    <w:p w:rsidR="000546DA" w:rsidRPr="00C37E76" w:rsidRDefault="000546DA" w:rsidP="002F2D5C">
      <w:pPr>
        <w:pStyle w:val="af6"/>
        <w:numPr>
          <w:ilvl w:val="0"/>
          <w:numId w:val="44"/>
        </w:numPr>
        <w:spacing w:after="0" w:line="360" w:lineRule="auto"/>
        <w:contextualSpacing/>
      </w:pPr>
      <w:r w:rsidRPr="00C37E76">
        <w:t>Дексаметазон</w:t>
      </w:r>
      <w:r>
        <w:rPr>
          <w:lang w:eastAsia="ru-RU"/>
        </w:rPr>
        <w:t>**</w:t>
      </w:r>
      <w:r w:rsidRPr="00C37E76">
        <w:t xml:space="preserve"> 40 мг внутрь, дни 1,</w:t>
      </w:r>
      <w:r w:rsidR="00522C92">
        <w:t xml:space="preserve"> </w:t>
      </w:r>
      <w:r w:rsidRPr="00C37E76">
        <w:t>8,</w:t>
      </w:r>
      <w:r w:rsidR="00522C92">
        <w:t xml:space="preserve"> </w:t>
      </w:r>
      <w:r w:rsidRPr="00C37E76">
        <w:t>15,</w:t>
      </w:r>
      <w:r w:rsidR="00522C92">
        <w:t xml:space="preserve"> </w:t>
      </w:r>
      <w:r w:rsidRPr="00C37E76">
        <w:t>22</w:t>
      </w:r>
      <w:r w:rsidR="00522C92">
        <w:rPr>
          <w:lang w:eastAsia="ru-RU"/>
        </w:rPr>
        <w:t>-й</w:t>
      </w:r>
    </w:p>
    <w:p w:rsidR="000546DA" w:rsidRPr="00C37E76" w:rsidRDefault="000546DA" w:rsidP="00131E36">
      <w:pPr>
        <w:pStyle w:val="af6"/>
        <w:tabs>
          <w:tab w:val="left" w:pos="0"/>
        </w:tabs>
        <w:spacing w:after="0" w:line="360" w:lineRule="auto"/>
        <w:contextualSpacing/>
      </w:pPr>
      <w:r w:rsidRPr="00C37E76">
        <w:t>Лечение возобновляется на 29</w:t>
      </w:r>
      <w:r w:rsidR="00522C92">
        <w:rPr>
          <w:lang w:eastAsia="ru-RU"/>
        </w:rPr>
        <w:t>-й</w:t>
      </w:r>
      <w:r w:rsidRPr="00C37E76">
        <w:t xml:space="preserve"> день.</w:t>
      </w:r>
    </w:p>
    <w:p w:rsidR="000546DA" w:rsidRPr="00C37E76" w:rsidRDefault="000546DA" w:rsidP="00131E36">
      <w:pPr>
        <w:pStyle w:val="af6"/>
        <w:tabs>
          <w:tab w:val="left" w:pos="0"/>
        </w:tabs>
        <w:spacing w:after="0" w:line="360" w:lineRule="auto"/>
        <w:ind w:firstLine="0"/>
        <w:contextualSpacing/>
        <w:rPr>
          <w:b/>
        </w:rPr>
      </w:pPr>
      <w:r w:rsidRPr="00C37E76">
        <w:rPr>
          <w:b/>
        </w:rPr>
        <w:t>EloRd:</w:t>
      </w:r>
    </w:p>
    <w:p w:rsidR="000546DA" w:rsidRPr="00E93D36" w:rsidRDefault="000546DA" w:rsidP="002F2D5C">
      <w:pPr>
        <w:pStyle w:val="a5"/>
        <w:numPr>
          <w:ilvl w:val="0"/>
          <w:numId w:val="45"/>
        </w:numPr>
        <w:autoSpaceDE w:val="0"/>
        <w:autoSpaceDN w:val="0"/>
        <w:adjustRightInd w:val="0"/>
        <w:spacing w:before="0" w:after="0"/>
        <w:jc w:val="left"/>
        <w:rPr>
          <w:szCs w:val="24"/>
          <w:lang w:eastAsia="ru-RU"/>
        </w:rPr>
      </w:pPr>
      <w:r w:rsidRPr="00E93D36">
        <w:rPr>
          <w:szCs w:val="24"/>
          <w:lang w:eastAsia="ru-RU"/>
        </w:rPr>
        <w:t>Элотузумаб</w:t>
      </w:r>
      <w:r w:rsidR="000A0A61">
        <w:rPr>
          <w:szCs w:val="24"/>
          <w:lang w:eastAsia="ru-RU"/>
        </w:rPr>
        <w:t>**</w:t>
      </w:r>
      <w:r w:rsidRPr="00E93D36">
        <w:rPr>
          <w:szCs w:val="24"/>
          <w:lang w:eastAsia="ru-RU"/>
        </w:rPr>
        <w:t xml:space="preserve"> 10 мг/кг в/в, дни 1, 8, 15, 22</w:t>
      </w:r>
      <w:r w:rsidR="00522C92">
        <w:rPr>
          <w:rFonts w:eastAsia="Times New Roman"/>
          <w:szCs w:val="24"/>
          <w:lang w:eastAsia="ru-RU"/>
        </w:rPr>
        <w:t>-й</w:t>
      </w:r>
      <w:r w:rsidRPr="00E93D36">
        <w:rPr>
          <w:szCs w:val="24"/>
          <w:lang w:eastAsia="ru-RU"/>
        </w:rPr>
        <w:t xml:space="preserve"> в 1 и 2-м циклах.  Дни 1,</w:t>
      </w:r>
      <w:r w:rsidR="00522C92">
        <w:rPr>
          <w:szCs w:val="24"/>
          <w:lang w:eastAsia="ru-RU"/>
        </w:rPr>
        <w:t xml:space="preserve"> </w:t>
      </w:r>
      <w:r w:rsidRPr="00E93D36">
        <w:rPr>
          <w:szCs w:val="24"/>
          <w:lang w:eastAsia="ru-RU"/>
        </w:rPr>
        <w:t>15</w:t>
      </w:r>
      <w:r w:rsidR="00522C92">
        <w:rPr>
          <w:rFonts w:eastAsia="Times New Roman"/>
          <w:szCs w:val="24"/>
          <w:lang w:eastAsia="ru-RU"/>
        </w:rPr>
        <w:t>-й ‒</w:t>
      </w:r>
      <w:r w:rsidRPr="00E93D36">
        <w:rPr>
          <w:szCs w:val="24"/>
          <w:lang w:eastAsia="ru-RU"/>
        </w:rPr>
        <w:t xml:space="preserve"> в последующих циклах </w:t>
      </w:r>
    </w:p>
    <w:p w:rsidR="000546DA" w:rsidRPr="00E93D36" w:rsidRDefault="000546DA" w:rsidP="002F2D5C">
      <w:pPr>
        <w:pStyle w:val="a5"/>
        <w:numPr>
          <w:ilvl w:val="0"/>
          <w:numId w:val="45"/>
        </w:numPr>
        <w:autoSpaceDE w:val="0"/>
        <w:autoSpaceDN w:val="0"/>
        <w:adjustRightInd w:val="0"/>
        <w:spacing w:before="0" w:after="0"/>
        <w:jc w:val="left"/>
        <w:rPr>
          <w:szCs w:val="24"/>
          <w:lang w:eastAsia="ru-RU"/>
        </w:rPr>
      </w:pPr>
      <w:r w:rsidRPr="00E93D36">
        <w:rPr>
          <w:szCs w:val="24"/>
          <w:lang w:eastAsia="ru-RU"/>
        </w:rPr>
        <w:t>Леналидомид</w:t>
      </w:r>
      <w:r>
        <w:rPr>
          <w:rFonts w:eastAsia="Times New Roman"/>
          <w:szCs w:val="24"/>
          <w:lang w:eastAsia="ru-RU"/>
        </w:rPr>
        <w:t>**</w:t>
      </w:r>
      <w:r w:rsidRPr="00E93D36">
        <w:rPr>
          <w:szCs w:val="24"/>
          <w:lang w:eastAsia="ru-RU"/>
        </w:rPr>
        <w:t xml:space="preserve"> 25 мг внутрь, дни 1</w:t>
      </w:r>
      <w:r w:rsidR="00522C92">
        <w:rPr>
          <w:szCs w:val="24"/>
          <w:lang w:eastAsia="ru-RU"/>
        </w:rPr>
        <w:t>‒</w:t>
      </w:r>
      <w:r w:rsidRPr="00E93D36">
        <w:rPr>
          <w:szCs w:val="24"/>
          <w:lang w:eastAsia="ru-RU"/>
        </w:rPr>
        <w:t>21</w:t>
      </w:r>
      <w:r w:rsidR="00522C92">
        <w:rPr>
          <w:rFonts w:eastAsia="Times New Roman"/>
          <w:szCs w:val="24"/>
          <w:lang w:eastAsia="ru-RU"/>
        </w:rPr>
        <w:t>-й</w:t>
      </w:r>
    </w:p>
    <w:p w:rsidR="000546DA" w:rsidRPr="00E93D36" w:rsidRDefault="000546DA" w:rsidP="002F2D5C">
      <w:pPr>
        <w:pStyle w:val="a5"/>
        <w:numPr>
          <w:ilvl w:val="0"/>
          <w:numId w:val="45"/>
        </w:numPr>
        <w:autoSpaceDE w:val="0"/>
        <w:autoSpaceDN w:val="0"/>
        <w:adjustRightInd w:val="0"/>
        <w:spacing w:before="0" w:after="0"/>
        <w:jc w:val="left"/>
        <w:rPr>
          <w:szCs w:val="24"/>
          <w:lang w:eastAsia="ru-RU"/>
        </w:rPr>
      </w:pPr>
      <w:r w:rsidRPr="00E93D36">
        <w:rPr>
          <w:szCs w:val="24"/>
          <w:lang w:eastAsia="ru-RU"/>
        </w:rPr>
        <w:t>Дексаметазон</w:t>
      </w:r>
      <w:r>
        <w:rPr>
          <w:rFonts w:eastAsia="Times New Roman"/>
          <w:szCs w:val="24"/>
          <w:lang w:eastAsia="ru-RU"/>
        </w:rPr>
        <w:t>**</w:t>
      </w:r>
      <w:r w:rsidRPr="00E93D36">
        <w:rPr>
          <w:szCs w:val="24"/>
          <w:lang w:eastAsia="ru-RU"/>
        </w:rPr>
        <w:t xml:space="preserve"> 40 мг внутрь или в/в дни 1, 8, 15, 22</w:t>
      </w:r>
      <w:r w:rsidR="00522C92">
        <w:rPr>
          <w:rFonts w:eastAsia="Times New Roman"/>
          <w:szCs w:val="24"/>
          <w:lang w:eastAsia="ru-RU"/>
        </w:rPr>
        <w:t>-й</w:t>
      </w:r>
      <w:r w:rsidRPr="00E93D36">
        <w:rPr>
          <w:szCs w:val="24"/>
          <w:lang w:eastAsia="ru-RU"/>
        </w:rPr>
        <w:t>.</w:t>
      </w:r>
    </w:p>
    <w:p w:rsidR="000546DA" w:rsidRPr="00C37E76" w:rsidRDefault="000546DA" w:rsidP="00131E36">
      <w:pPr>
        <w:autoSpaceDE w:val="0"/>
        <w:autoSpaceDN w:val="0"/>
        <w:adjustRightInd w:val="0"/>
        <w:spacing w:before="0" w:after="0"/>
        <w:contextualSpacing/>
        <w:rPr>
          <w:szCs w:val="24"/>
          <w:lang w:eastAsia="ru-RU"/>
        </w:rPr>
      </w:pPr>
      <w:r w:rsidRPr="00C37E76">
        <w:rPr>
          <w:szCs w:val="24"/>
          <w:lang w:eastAsia="ru-RU"/>
        </w:rPr>
        <w:t>Лечение возобновляется на 29</w:t>
      </w:r>
      <w:r w:rsidR="00522C92">
        <w:rPr>
          <w:rFonts w:eastAsia="Times New Roman"/>
          <w:szCs w:val="24"/>
          <w:lang w:eastAsia="ru-RU"/>
        </w:rPr>
        <w:t>-й</w:t>
      </w:r>
      <w:r w:rsidRPr="00C37E76">
        <w:rPr>
          <w:szCs w:val="24"/>
          <w:lang w:eastAsia="ru-RU"/>
        </w:rPr>
        <w:t xml:space="preserve"> день</w:t>
      </w:r>
      <w:r w:rsidR="00522C92">
        <w:rPr>
          <w:szCs w:val="24"/>
          <w:lang w:eastAsia="ru-RU"/>
        </w:rPr>
        <w:t>.</w:t>
      </w:r>
    </w:p>
    <w:p w:rsidR="000546DA" w:rsidRPr="00C37E76" w:rsidRDefault="000546DA" w:rsidP="00131E36">
      <w:pPr>
        <w:autoSpaceDE w:val="0"/>
        <w:autoSpaceDN w:val="0"/>
        <w:adjustRightInd w:val="0"/>
        <w:spacing w:before="0" w:after="0"/>
        <w:contextualSpacing/>
        <w:rPr>
          <w:b/>
          <w:szCs w:val="24"/>
          <w:lang w:eastAsia="ru-RU"/>
        </w:rPr>
      </w:pPr>
      <w:r w:rsidRPr="00C37E76">
        <w:rPr>
          <w:b/>
          <w:szCs w:val="24"/>
          <w:lang w:eastAsia="ru-RU"/>
        </w:rPr>
        <w:t>Даратумумаб (монотерапия):</w:t>
      </w:r>
    </w:p>
    <w:p w:rsidR="000546DA" w:rsidRPr="00C37E76" w:rsidRDefault="000546DA" w:rsidP="002F2D5C">
      <w:pPr>
        <w:numPr>
          <w:ilvl w:val="0"/>
          <w:numId w:val="18"/>
        </w:numPr>
        <w:autoSpaceDE w:val="0"/>
        <w:autoSpaceDN w:val="0"/>
        <w:adjustRightInd w:val="0"/>
        <w:spacing w:before="0" w:after="0"/>
        <w:contextualSpacing/>
        <w:jc w:val="left"/>
        <w:rPr>
          <w:szCs w:val="24"/>
          <w:lang w:eastAsia="ru-RU"/>
        </w:rPr>
      </w:pPr>
      <w:r w:rsidRPr="00C37E76">
        <w:rPr>
          <w:szCs w:val="24"/>
          <w:lang w:eastAsia="ru-RU"/>
        </w:rPr>
        <w:t>Даратумумаб</w:t>
      </w:r>
      <w:r>
        <w:rPr>
          <w:rFonts w:eastAsia="Times New Roman"/>
          <w:szCs w:val="24"/>
          <w:lang w:eastAsia="ru-RU"/>
        </w:rPr>
        <w:t>**</w:t>
      </w:r>
      <w:r w:rsidRPr="00C37E76">
        <w:rPr>
          <w:szCs w:val="24"/>
          <w:lang w:eastAsia="ru-RU"/>
        </w:rPr>
        <w:t xml:space="preserve"> 16 мг/кг в/в </w:t>
      </w:r>
    </w:p>
    <w:p w:rsidR="000546DA" w:rsidRPr="00C37E76" w:rsidRDefault="000546DA" w:rsidP="002F2D5C">
      <w:pPr>
        <w:numPr>
          <w:ilvl w:val="1"/>
          <w:numId w:val="18"/>
        </w:numPr>
        <w:autoSpaceDE w:val="0"/>
        <w:autoSpaceDN w:val="0"/>
        <w:adjustRightInd w:val="0"/>
        <w:spacing w:before="0" w:after="0"/>
        <w:contextualSpacing/>
        <w:jc w:val="left"/>
        <w:rPr>
          <w:szCs w:val="24"/>
          <w:lang w:eastAsia="ru-RU"/>
        </w:rPr>
      </w:pPr>
      <w:r w:rsidRPr="00C37E76">
        <w:rPr>
          <w:szCs w:val="24"/>
          <w:lang w:eastAsia="ru-RU"/>
        </w:rPr>
        <w:t>1 раз в неделю в 1</w:t>
      </w:r>
      <w:r w:rsidR="00522C92">
        <w:rPr>
          <w:szCs w:val="24"/>
          <w:lang w:eastAsia="ru-RU"/>
        </w:rPr>
        <w:t>‒</w:t>
      </w:r>
      <w:r w:rsidRPr="00C37E76">
        <w:rPr>
          <w:szCs w:val="24"/>
          <w:lang w:eastAsia="ru-RU"/>
        </w:rPr>
        <w:t>8</w:t>
      </w:r>
      <w:r w:rsidR="00522C92">
        <w:rPr>
          <w:rFonts w:eastAsia="Times New Roman"/>
          <w:szCs w:val="24"/>
          <w:lang w:eastAsia="ru-RU"/>
        </w:rPr>
        <w:t>-ю</w:t>
      </w:r>
      <w:r w:rsidRPr="00C37E76">
        <w:rPr>
          <w:szCs w:val="24"/>
          <w:lang w:eastAsia="ru-RU"/>
        </w:rPr>
        <w:t xml:space="preserve"> недели (всего 8 доз) </w:t>
      </w:r>
    </w:p>
    <w:p w:rsidR="000546DA" w:rsidRPr="00C37E76" w:rsidRDefault="000546DA" w:rsidP="002F2D5C">
      <w:pPr>
        <w:numPr>
          <w:ilvl w:val="1"/>
          <w:numId w:val="18"/>
        </w:numPr>
        <w:autoSpaceDE w:val="0"/>
        <w:autoSpaceDN w:val="0"/>
        <w:adjustRightInd w:val="0"/>
        <w:spacing w:before="0" w:after="0"/>
        <w:contextualSpacing/>
        <w:jc w:val="left"/>
        <w:rPr>
          <w:szCs w:val="24"/>
          <w:lang w:eastAsia="ru-RU"/>
        </w:rPr>
      </w:pPr>
      <w:r w:rsidRPr="00C37E76">
        <w:rPr>
          <w:szCs w:val="24"/>
          <w:lang w:eastAsia="ru-RU"/>
        </w:rPr>
        <w:t>1 раз в 2 недели в 9</w:t>
      </w:r>
      <w:r w:rsidR="00522C92">
        <w:rPr>
          <w:szCs w:val="24"/>
          <w:lang w:eastAsia="ru-RU"/>
        </w:rPr>
        <w:t>‒</w:t>
      </w:r>
      <w:r w:rsidRPr="00C37E76">
        <w:rPr>
          <w:szCs w:val="24"/>
          <w:lang w:eastAsia="ru-RU"/>
        </w:rPr>
        <w:t>24</w:t>
      </w:r>
      <w:r w:rsidR="00522C92">
        <w:rPr>
          <w:rFonts w:eastAsia="Times New Roman"/>
          <w:szCs w:val="24"/>
          <w:lang w:eastAsia="ru-RU"/>
        </w:rPr>
        <w:t>-ю</w:t>
      </w:r>
      <w:r w:rsidR="00522C92">
        <w:rPr>
          <w:szCs w:val="24"/>
          <w:lang w:eastAsia="ru-RU"/>
        </w:rPr>
        <w:t xml:space="preserve"> недели (всего 8 доз)</w:t>
      </w:r>
    </w:p>
    <w:p w:rsidR="000546DA" w:rsidRPr="00C37E76" w:rsidRDefault="000546DA" w:rsidP="002F2D5C">
      <w:pPr>
        <w:numPr>
          <w:ilvl w:val="1"/>
          <w:numId w:val="18"/>
        </w:numPr>
        <w:autoSpaceDE w:val="0"/>
        <w:autoSpaceDN w:val="0"/>
        <w:adjustRightInd w:val="0"/>
        <w:spacing w:before="0" w:after="0"/>
        <w:contextualSpacing/>
        <w:jc w:val="left"/>
        <w:rPr>
          <w:szCs w:val="24"/>
          <w:lang w:eastAsia="ru-RU"/>
        </w:rPr>
      </w:pPr>
      <w:r w:rsidRPr="00C37E76">
        <w:rPr>
          <w:szCs w:val="24"/>
          <w:lang w:eastAsia="ru-RU"/>
        </w:rPr>
        <w:lastRenderedPageBreak/>
        <w:t>1 раз в 4 недели с 25</w:t>
      </w:r>
      <w:r w:rsidR="00522C92">
        <w:rPr>
          <w:szCs w:val="24"/>
          <w:lang w:eastAsia="ru-RU"/>
        </w:rPr>
        <w:t>-й</w:t>
      </w:r>
      <w:r w:rsidRPr="00C37E76">
        <w:rPr>
          <w:szCs w:val="24"/>
          <w:lang w:eastAsia="ru-RU"/>
        </w:rPr>
        <w:t xml:space="preserve"> недели </w:t>
      </w:r>
    </w:p>
    <w:p w:rsidR="000546DA" w:rsidRDefault="000546DA" w:rsidP="002F2D5C">
      <w:pPr>
        <w:numPr>
          <w:ilvl w:val="1"/>
          <w:numId w:val="18"/>
        </w:numPr>
        <w:autoSpaceDE w:val="0"/>
        <w:autoSpaceDN w:val="0"/>
        <w:adjustRightInd w:val="0"/>
        <w:spacing w:before="0" w:after="0"/>
        <w:contextualSpacing/>
        <w:jc w:val="left"/>
        <w:rPr>
          <w:szCs w:val="24"/>
          <w:lang w:eastAsia="ru-RU"/>
        </w:rPr>
      </w:pPr>
      <w:r w:rsidRPr="00C37E76">
        <w:rPr>
          <w:szCs w:val="24"/>
          <w:lang w:eastAsia="ru-RU"/>
        </w:rPr>
        <w:t>Далее до прогрессирования или до развития непереносимости</w:t>
      </w:r>
      <w:r w:rsidR="00522C92">
        <w:rPr>
          <w:szCs w:val="24"/>
          <w:lang w:eastAsia="ru-RU"/>
        </w:rPr>
        <w:t>.</w:t>
      </w:r>
    </w:p>
    <w:p w:rsidR="000546DA" w:rsidRPr="00D3350C" w:rsidRDefault="000546DA" w:rsidP="00131E36">
      <w:pPr>
        <w:autoSpaceDE w:val="0"/>
        <w:autoSpaceDN w:val="0"/>
        <w:adjustRightInd w:val="0"/>
        <w:spacing w:before="0" w:after="0"/>
        <w:ind w:left="1440"/>
        <w:contextualSpacing/>
        <w:jc w:val="left"/>
        <w:rPr>
          <w:szCs w:val="24"/>
          <w:lang w:eastAsia="ru-RU"/>
        </w:rPr>
      </w:pPr>
    </w:p>
    <w:p w:rsidR="000546DA" w:rsidRPr="00D62DF3" w:rsidRDefault="000546DA" w:rsidP="00131E36">
      <w:pPr>
        <w:autoSpaceDE w:val="0"/>
        <w:autoSpaceDN w:val="0"/>
        <w:adjustRightInd w:val="0"/>
        <w:spacing w:before="0" w:after="0"/>
        <w:contextualSpacing/>
        <w:rPr>
          <w:b/>
          <w:szCs w:val="24"/>
          <w:lang w:eastAsia="ru-RU"/>
        </w:rPr>
      </w:pPr>
      <w:r w:rsidRPr="00C37E76">
        <w:rPr>
          <w:b/>
          <w:szCs w:val="24"/>
          <w:lang w:val="en-US" w:eastAsia="ru-RU"/>
        </w:rPr>
        <w:t>Dara</w:t>
      </w:r>
      <w:r w:rsidRPr="00D62DF3">
        <w:rPr>
          <w:b/>
          <w:szCs w:val="24"/>
          <w:lang w:eastAsia="ru-RU"/>
        </w:rPr>
        <w:t>-</w:t>
      </w:r>
      <w:r w:rsidRPr="00C37E76">
        <w:rPr>
          <w:b/>
          <w:szCs w:val="24"/>
          <w:lang w:val="en-US" w:eastAsia="ru-RU"/>
        </w:rPr>
        <w:t>VD</w:t>
      </w:r>
    </w:p>
    <w:p w:rsidR="000546DA" w:rsidRPr="00E93D36" w:rsidRDefault="000546DA" w:rsidP="002F2D5C">
      <w:pPr>
        <w:pStyle w:val="a5"/>
        <w:numPr>
          <w:ilvl w:val="0"/>
          <w:numId w:val="46"/>
        </w:numPr>
        <w:spacing w:before="0" w:after="0"/>
        <w:rPr>
          <w:rFonts w:eastAsia="Times New Roman"/>
          <w:b/>
          <w:szCs w:val="24"/>
          <w:u w:val="single"/>
          <w:lang w:eastAsia="ru-RU"/>
        </w:rPr>
      </w:pPr>
      <w:r w:rsidRPr="00E93D36">
        <w:rPr>
          <w:rFonts w:eastAsia="Times New Roman"/>
          <w:szCs w:val="24"/>
          <w:lang w:eastAsia="ru-RU"/>
        </w:rPr>
        <w:t>Даратумумаб</w:t>
      </w:r>
      <w:r>
        <w:rPr>
          <w:rFonts w:eastAsia="Times New Roman"/>
          <w:szCs w:val="24"/>
          <w:lang w:eastAsia="ru-RU"/>
        </w:rPr>
        <w:t>**</w:t>
      </w:r>
      <w:r w:rsidRPr="00E93D36">
        <w:rPr>
          <w:rFonts w:eastAsia="Times New Roman"/>
          <w:szCs w:val="24"/>
          <w:lang w:eastAsia="ru-RU"/>
        </w:rPr>
        <w:tab/>
        <w:t xml:space="preserve">16 мг/кг в/в </w:t>
      </w:r>
    </w:p>
    <w:p w:rsidR="000546DA" w:rsidRPr="00E93D36" w:rsidRDefault="000546DA" w:rsidP="002F2D5C">
      <w:pPr>
        <w:pStyle w:val="a5"/>
        <w:numPr>
          <w:ilvl w:val="1"/>
          <w:numId w:val="47"/>
        </w:numPr>
        <w:spacing w:before="0" w:after="0"/>
        <w:rPr>
          <w:rFonts w:eastAsia="Times New Roman"/>
          <w:b/>
          <w:szCs w:val="24"/>
          <w:u w:val="single"/>
          <w:lang w:eastAsia="ru-RU"/>
        </w:rPr>
      </w:pPr>
      <w:r w:rsidRPr="00E93D36">
        <w:rPr>
          <w:rFonts w:eastAsia="Times New Roman"/>
          <w:szCs w:val="24"/>
          <w:lang w:eastAsia="ru-RU"/>
        </w:rPr>
        <w:t>1 раз в неделю в 1</w:t>
      </w:r>
      <w:r w:rsidR="00522C92">
        <w:rPr>
          <w:rFonts w:eastAsia="Times New Roman"/>
          <w:szCs w:val="24"/>
          <w:lang w:eastAsia="ru-RU"/>
        </w:rPr>
        <w:t>‒</w:t>
      </w:r>
      <w:r w:rsidRPr="00E93D36">
        <w:rPr>
          <w:rFonts w:eastAsia="Times New Roman"/>
          <w:szCs w:val="24"/>
          <w:lang w:eastAsia="ru-RU"/>
        </w:rPr>
        <w:t>9</w:t>
      </w:r>
      <w:r w:rsidR="00522C92">
        <w:rPr>
          <w:rFonts w:eastAsia="Times New Roman"/>
          <w:szCs w:val="24"/>
          <w:lang w:eastAsia="ru-RU"/>
        </w:rPr>
        <w:t>-ю</w:t>
      </w:r>
      <w:r w:rsidRPr="00E93D36">
        <w:rPr>
          <w:rFonts w:eastAsia="Times New Roman"/>
          <w:szCs w:val="24"/>
          <w:lang w:eastAsia="ru-RU"/>
        </w:rPr>
        <w:t xml:space="preserve"> недели (всего 9 доз)</w:t>
      </w:r>
    </w:p>
    <w:p w:rsidR="000546DA" w:rsidRPr="00E93D36" w:rsidRDefault="000546DA" w:rsidP="002F2D5C">
      <w:pPr>
        <w:pStyle w:val="a5"/>
        <w:numPr>
          <w:ilvl w:val="1"/>
          <w:numId w:val="47"/>
        </w:numPr>
        <w:spacing w:before="0" w:after="0"/>
        <w:rPr>
          <w:rFonts w:eastAsia="Times New Roman"/>
          <w:b/>
          <w:szCs w:val="24"/>
          <w:u w:val="single"/>
          <w:lang w:eastAsia="ru-RU"/>
        </w:rPr>
      </w:pPr>
      <w:r w:rsidRPr="00E93D36">
        <w:rPr>
          <w:rFonts w:eastAsia="Times New Roman"/>
          <w:szCs w:val="24"/>
          <w:lang w:eastAsia="ru-RU"/>
        </w:rPr>
        <w:t>1 раз в 3 недели в 10</w:t>
      </w:r>
      <w:r w:rsidR="00522C92">
        <w:rPr>
          <w:rFonts w:eastAsia="Times New Roman"/>
          <w:szCs w:val="24"/>
          <w:lang w:eastAsia="ru-RU"/>
        </w:rPr>
        <w:t>‒</w:t>
      </w:r>
      <w:r w:rsidRPr="00E93D36">
        <w:rPr>
          <w:rFonts w:eastAsia="Times New Roman"/>
          <w:szCs w:val="24"/>
          <w:lang w:eastAsia="ru-RU"/>
        </w:rPr>
        <w:t>24</w:t>
      </w:r>
      <w:r w:rsidR="00522C92">
        <w:rPr>
          <w:rFonts w:eastAsia="Times New Roman"/>
          <w:szCs w:val="24"/>
          <w:lang w:eastAsia="ru-RU"/>
        </w:rPr>
        <w:t>-ю</w:t>
      </w:r>
      <w:r w:rsidRPr="00E93D36">
        <w:rPr>
          <w:rFonts w:eastAsia="Times New Roman"/>
          <w:szCs w:val="24"/>
          <w:lang w:eastAsia="ru-RU"/>
        </w:rPr>
        <w:t xml:space="preserve"> недели (всего 5 доз)</w:t>
      </w:r>
    </w:p>
    <w:p w:rsidR="000546DA" w:rsidRPr="00E93D36" w:rsidRDefault="000546DA" w:rsidP="002F2D5C">
      <w:pPr>
        <w:pStyle w:val="a5"/>
        <w:numPr>
          <w:ilvl w:val="1"/>
          <w:numId w:val="47"/>
        </w:numPr>
        <w:spacing w:before="0" w:after="0"/>
        <w:rPr>
          <w:rFonts w:eastAsia="Times New Roman"/>
          <w:b/>
          <w:szCs w:val="24"/>
          <w:u w:val="single"/>
          <w:lang w:eastAsia="ru-RU"/>
        </w:rPr>
      </w:pPr>
      <w:r w:rsidRPr="00E93D36">
        <w:rPr>
          <w:rFonts w:eastAsia="Times New Roman"/>
          <w:szCs w:val="24"/>
          <w:lang w:eastAsia="ru-RU"/>
        </w:rPr>
        <w:t>1 раз в 4 недели с 25</w:t>
      </w:r>
      <w:r w:rsidR="00522C92">
        <w:rPr>
          <w:rFonts w:eastAsia="Times New Roman"/>
          <w:szCs w:val="24"/>
          <w:lang w:eastAsia="ru-RU"/>
        </w:rPr>
        <w:t>-й</w:t>
      </w:r>
      <w:r w:rsidRPr="00E93D36">
        <w:rPr>
          <w:rFonts w:eastAsia="Times New Roman"/>
          <w:szCs w:val="24"/>
          <w:lang w:eastAsia="ru-RU"/>
        </w:rPr>
        <w:t xml:space="preserve"> недели до прогрессии</w:t>
      </w:r>
    </w:p>
    <w:p w:rsidR="000546DA" w:rsidRPr="00E93D36" w:rsidRDefault="000546DA" w:rsidP="002F2D5C">
      <w:pPr>
        <w:pStyle w:val="a5"/>
        <w:numPr>
          <w:ilvl w:val="0"/>
          <w:numId w:val="46"/>
        </w:numPr>
        <w:spacing w:before="0" w:after="0"/>
        <w:jc w:val="left"/>
        <w:rPr>
          <w:rFonts w:eastAsia="Times New Roman"/>
          <w:szCs w:val="24"/>
          <w:lang w:eastAsia="ru-RU"/>
        </w:rPr>
      </w:pPr>
      <w:r w:rsidRPr="00E93D36">
        <w:rPr>
          <w:rFonts w:eastAsia="Times New Roman"/>
          <w:szCs w:val="24"/>
          <w:lang w:eastAsia="ru-RU"/>
        </w:rPr>
        <w:t>Бортезомиб</w:t>
      </w:r>
      <w:r>
        <w:rPr>
          <w:rFonts w:eastAsia="Times New Roman"/>
          <w:szCs w:val="24"/>
          <w:lang w:eastAsia="ru-RU"/>
        </w:rPr>
        <w:t>**</w:t>
      </w:r>
      <w:r w:rsidRPr="00E93D36">
        <w:rPr>
          <w:rFonts w:eastAsia="Times New Roman"/>
          <w:szCs w:val="24"/>
          <w:lang w:eastAsia="ru-RU"/>
        </w:rPr>
        <w:t xml:space="preserve"> 1,3 мг/м</w:t>
      </w:r>
      <w:r w:rsidRPr="00E93D36">
        <w:rPr>
          <w:rFonts w:eastAsia="Times New Roman"/>
          <w:szCs w:val="24"/>
          <w:vertAlign w:val="superscript"/>
          <w:lang w:eastAsia="ru-RU"/>
        </w:rPr>
        <w:t>2</w:t>
      </w:r>
      <w:r w:rsidRPr="00E93D36">
        <w:rPr>
          <w:rFonts w:eastAsia="Times New Roman"/>
          <w:szCs w:val="24"/>
          <w:lang w:eastAsia="ru-RU"/>
        </w:rPr>
        <w:t xml:space="preserve"> п/к в 1, 4, 8, 11</w:t>
      </w:r>
      <w:r w:rsidR="00522C92">
        <w:rPr>
          <w:rFonts w:eastAsia="Times New Roman"/>
          <w:szCs w:val="24"/>
          <w:lang w:eastAsia="ru-RU"/>
        </w:rPr>
        <w:t>-й</w:t>
      </w:r>
      <w:r w:rsidRPr="00E93D36">
        <w:rPr>
          <w:rFonts w:eastAsia="Times New Roman"/>
          <w:szCs w:val="24"/>
          <w:lang w:eastAsia="ru-RU"/>
        </w:rPr>
        <w:t xml:space="preserve"> дни повторяющихся 3-недельных циклов в течение 8 циклов</w:t>
      </w:r>
    </w:p>
    <w:p w:rsidR="000546DA" w:rsidRPr="00E93D36" w:rsidRDefault="000546DA" w:rsidP="002F2D5C">
      <w:pPr>
        <w:pStyle w:val="a5"/>
        <w:numPr>
          <w:ilvl w:val="0"/>
          <w:numId w:val="46"/>
        </w:numPr>
        <w:spacing w:before="0" w:after="0"/>
        <w:jc w:val="left"/>
        <w:rPr>
          <w:rFonts w:eastAsia="Times New Roman"/>
          <w:szCs w:val="24"/>
          <w:lang w:eastAsia="ru-RU"/>
        </w:rPr>
      </w:pPr>
      <w:r w:rsidRPr="00E93D36">
        <w:rPr>
          <w:rFonts w:eastAsia="Times New Roman"/>
          <w:szCs w:val="24"/>
          <w:lang w:eastAsia="ru-RU"/>
        </w:rPr>
        <w:t>Дексаметазон</w:t>
      </w:r>
      <w:r>
        <w:rPr>
          <w:rFonts w:eastAsia="Times New Roman"/>
          <w:szCs w:val="24"/>
          <w:lang w:eastAsia="ru-RU"/>
        </w:rPr>
        <w:t>**</w:t>
      </w:r>
      <w:r w:rsidRPr="00E93D36">
        <w:rPr>
          <w:rFonts w:eastAsia="Times New Roman"/>
          <w:szCs w:val="24"/>
          <w:lang w:eastAsia="ru-RU"/>
        </w:rPr>
        <w:t xml:space="preserve"> 20 мг энтерально в 1, 2, 4, 5, 8, 9, 11, 12</w:t>
      </w:r>
      <w:r w:rsidR="00522C92">
        <w:rPr>
          <w:rFonts w:eastAsia="Times New Roman"/>
          <w:szCs w:val="24"/>
          <w:lang w:eastAsia="ru-RU"/>
        </w:rPr>
        <w:t>-й</w:t>
      </w:r>
      <w:r w:rsidRPr="00E93D36">
        <w:rPr>
          <w:rFonts w:eastAsia="Times New Roman"/>
          <w:szCs w:val="24"/>
          <w:lang w:eastAsia="ru-RU"/>
        </w:rPr>
        <w:t xml:space="preserve"> дни на протяжении 8 циклов терапии бортезомибом</w:t>
      </w:r>
      <w:r>
        <w:rPr>
          <w:rFonts w:eastAsia="Times New Roman"/>
          <w:szCs w:val="24"/>
          <w:lang w:eastAsia="ru-RU"/>
        </w:rPr>
        <w:t>**</w:t>
      </w:r>
    </w:p>
    <w:p w:rsidR="000546DA" w:rsidRPr="00C37E76" w:rsidRDefault="000546DA" w:rsidP="00131E36">
      <w:pPr>
        <w:spacing w:before="0" w:after="0"/>
        <w:contextualSpacing/>
        <w:jc w:val="left"/>
        <w:rPr>
          <w:rFonts w:eastAsia="Times New Roman"/>
          <w:b/>
          <w:szCs w:val="24"/>
          <w:lang w:val="en-US" w:eastAsia="ru-RU"/>
        </w:rPr>
      </w:pPr>
      <w:r w:rsidRPr="00C37E76">
        <w:rPr>
          <w:rFonts w:eastAsia="Times New Roman"/>
          <w:b/>
          <w:szCs w:val="24"/>
          <w:lang w:val="en-US" w:eastAsia="ru-RU"/>
        </w:rPr>
        <w:t>Dara-Rd</w:t>
      </w:r>
    </w:p>
    <w:p w:rsidR="000546DA" w:rsidRPr="00C37E76" w:rsidRDefault="000546DA" w:rsidP="002F2D5C">
      <w:pPr>
        <w:numPr>
          <w:ilvl w:val="0"/>
          <w:numId w:val="48"/>
        </w:numPr>
        <w:autoSpaceDE w:val="0"/>
        <w:autoSpaceDN w:val="0"/>
        <w:adjustRightInd w:val="0"/>
        <w:spacing w:before="0" w:after="0"/>
        <w:contextualSpacing/>
        <w:jc w:val="left"/>
        <w:rPr>
          <w:szCs w:val="24"/>
          <w:lang w:eastAsia="ru-RU"/>
        </w:rPr>
      </w:pPr>
      <w:r w:rsidRPr="00C37E76">
        <w:rPr>
          <w:szCs w:val="24"/>
          <w:lang w:eastAsia="ru-RU"/>
        </w:rPr>
        <w:t>Даратумумаб</w:t>
      </w:r>
      <w:r>
        <w:rPr>
          <w:rFonts w:eastAsia="Times New Roman"/>
          <w:szCs w:val="24"/>
          <w:lang w:eastAsia="ru-RU"/>
        </w:rPr>
        <w:t>**</w:t>
      </w:r>
      <w:r w:rsidRPr="00C37E76">
        <w:rPr>
          <w:szCs w:val="24"/>
          <w:lang w:eastAsia="ru-RU"/>
        </w:rPr>
        <w:t xml:space="preserve"> 16 мг/кг в/в</w:t>
      </w:r>
      <w:r w:rsidRPr="00E93D36">
        <w:rPr>
          <w:szCs w:val="24"/>
          <w:lang w:eastAsia="ru-RU"/>
        </w:rPr>
        <w:t>^</w:t>
      </w:r>
    </w:p>
    <w:p w:rsidR="000546DA" w:rsidRPr="00C37E76" w:rsidRDefault="000546DA" w:rsidP="002F2D5C">
      <w:pPr>
        <w:numPr>
          <w:ilvl w:val="1"/>
          <w:numId w:val="49"/>
        </w:numPr>
        <w:autoSpaceDE w:val="0"/>
        <w:autoSpaceDN w:val="0"/>
        <w:adjustRightInd w:val="0"/>
        <w:spacing w:before="0" w:after="0"/>
        <w:contextualSpacing/>
        <w:jc w:val="left"/>
        <w:rPr>
          <w:szCs w:val="24"/>
          <w:lang w:eastAsia="ru-RU"/>
        </w:rPr>
      </w:pPr>
      <w:r w:rsidRPr="00C37E76">
        <w:rPr>
          <w:szCs w:val="24"/>
          <w:lang w:eastAsia="ru-RU"/>
        </w:rPr>
        <w:t>1 раз в неделю в 1</w:t>
      </w:r>
      <w:r w:rsidR="00522C92">
        <w:rPr>
          <w:szCs w:val="24"/>
          <w:lang w:eastAsia="ru-RU"/>
        </w:rPr>
        <w:t>‒</w:t>
      </w:r>
      <w:r w:rsidRPr="00C37E76">
        <w:rPr>
          <w:szCs w:val="24"/>
          <w:lang w:eastAsia="ru-RU"/>
        </w:rPr>
        <w:t>8</w:t>
      </w:r>
      <w:r w:rsidR="00522C92">
        <w:rPr>
          <w:rFonts w:eastAsia="Times New Roman"/>
          <w:szCs w:val="24"/>
          <w:lang w:eastAsia="ru-RU"/>
        </w:rPr>
        <w:t>-ю</w:t>
      </w:r>
      <w:r w:rsidRPr="00C37E76">
        <w:rPr>
          <w:szCs w:val="24"/>
          <w:lang w:eastAsia="ru-RU"/>
        </w:rPr>
        <w:t xml:space="preserve"> недели (всего 8 доз) </w:t>
      </w:r>
    </w:p>
    <w:p w:rsidR="000546DA" w:rsidRPr="00C37E76" w:rsidRDefault="000546DA" w:rsidP="002F2D5C">
      <w:pPr>
        <w:numPr>
          <w:ilvl w:val="1"/>
          <w:numId w:val="49"/>
        </w:numPr>
        <w:autoSpaceDE w:val="0"/>
        <w:autoSpaceDN w:val="0"/>
        <w:adjustRightInd w:val="0"/>
        <w:spacing w:before="0" w:after="0"/>
        <w:contextualSpacing/>
        <w:jc w:val="left"/>
        <w:rPr>
          <w:szCs w:val="24"/>
          <w:lang w:eastAsia="ru-RU"/>
        </w:rPr>
      </w:pPr>
      <w:r w:rsidRPr="00C37E76">
        <w:rPr>
          <w:szCs w:val="24"/>
          <w:lang w:eastAsia="ru-RU"/>
        </w:rPr>
        <w:t>1 раз в 2 недели в 9</w:t>
      </w:r>
      <w:r w:rsidR="00522C92">
        <w:rPr>
          <w:szCs w:val="24"/>
          <w:lang w:eastAsia="ru-RU"/>
        </w:rPr>
        <w:t>‒</w:t>
      </w:r>
      <w:r w:rsidRPr="00C37E76">
        <w:rPr>
          <w:szCs w:val="24"/>
          <w:lang w:eastAsia="ru-RU"/>
        </w:rPr>
        <w:t>24</w:t>
      </w:r>
      <w:r w:rsidR="00522C92">
        <w:rPr>
          <w:szCs w:val="24"/>
          <w:lang w:eastAsia="ru-RU"/>
        </w:rPr>
        <w:t>-ю недели (всего 8 доз)</w:t>
      </w:r>
    </w:p>
    <w:p w:rsidR="000546DA" w:rsidRPr="00C37E76" w:rsidRDefault="000546DA" w:rsidP="002F2D5C">
      <w:pPr>
        <w:numPr>
          <w:ilvl w:val="1"/>
          <w:numId w:val="49"/>
        </w:numPr>
        <w:autoSpaceDE w:val="0"/>
        <w:autoSpaceDN w:val="0"/>
        <w:adjustRightInd w:val="0"/>
        <w:spacing w:before="0" w:after="0"/>
        <w:contextualSpacing/>
        <w:jc w:val="left"/>
        <w:rPr>
          <w:szCs w:val="24"/>
          <w:lang w:eastAsia="ru-RU"/>
        </w:rPr>
      </w:pPr>
      <w:r w:rsidRPr="00C37E76">
        <w:rPr>
          <w:szCs w:val="24"/>
          <w:lang w:eastAsia="ru-RU"/>
        </w:rPr>
        <w:t>1 раз в 4 недели с 25</w:t>
      </w:r>
      <w:r w:rsidR="00522C92">
        <w:rPr>
          <w:rFonts w:eastAsia="Times New Roman"/>
          <w:szCs w:val="24"/>
          <w:lang w:eastAsia="ru-RU"/>
        </w:rPr>
        <w:t>-й</w:t>
      </w:r>
      <w:r w:rsidRPr="00C37E76">
        <w:rPr>
          <w:szCs w:val="24"/>
          <w:lang w:eastAsia="ru-RU"/>
        </w:rPr>
        <w:t xml:space="preserve"> недели до прогрессирования</w:t>
      </w:r>
    </w:p>
    <w:p w:rsidR="000546DA" w:rsidRPr="00C37E76" w:rsidRDefault="000546DA" w:rsidP="002F2D5C">
      <w:pPr>
        <w:pStyle w:val="a5"/>
        <w:numPr>
          <w:ilvl w:val="0"/>
          <w:numId w:val="48"/>
        </w:numPr>
        <w:autoSpaceDE w:val="0"/>
        <w:autoSpaceDN w:val="0"/>
        <w:adjustRightInd w:val="0"/>
        <w:spacing w:before="0" w:after="0"/>
        <w:rPr>
          <w:szCs w:val="24"/>
          <w:lang w:eastAsia="ru-RU"/>
        </w:rPr>
      </w:pPr>
      <w:r w:rsidRPr="00C37E76">
        <w:rPr>
          <w:szCs w:val="24"/>
          <w:lang w:eastAsia="ru-RU"/>
        </w:rPr>
        <w:t>Леналидомид</w:t>
      </w:r>
      <w:r>
        <w:rPr>
          <w:rFonts w:eastAsia="Times New Roman"/>
          <w:szCs w:val="24"/>
          <w:lang w:eastAsia="ru-RU"/>
        </w:rPr>
        <w:t>**</w:t>
      </w:r>
      <w:r w:rsidRPr="00C37E76">
        <w:rPr>
          <w:szCs w:val="24"/>
          <w:lang w:eastAsia="ru-RU"/>
        </w:rPr>
        <w:t xml:space="preserve"> по 25 мг энтерально в дни 1</w:t>
      </w:r>
      <w:r w:rsidR="00522C92">
        <w:rPr>
          <w:szCs w:val="24"/>
          <w:lang w:eastAsia="ru-RU"/>
        </w:rPr>
        <w:t>‒</w:t>
      </w:r>
      <w:r w:rsidRPr="00C37E76">
        <w:rPr>
          <w:szCs w:val="24"/>
          <w:lang w:eastAsia="ru-RU"/>
        </w:rPr>
        <w:t>21</w:t>
      </w:r>
      <w:r w:rsidR="00522C92">
        <w:rPr>
          <w:rFonts w:eastAsia="Times New Roman"/>
          <w:szCs w:val="24"/>
          <w:lang w:eastAsia="ru-RU"/>
        </w:rPr>
        <w:t>-й</w:t>
      </w:r>
      <w:r w:rsidRPr="00C37E76">
        <w:rPr>
          <w:szCs w:val="24"/>
          <w:lang w:eastAsia="ru-RU"/>
        </w:rPr>
        <w:t xml:space="preserve"> повторяющихся 4-недельных циклов</w:t>
      </w:r>
    </w:p>
    <w:p w:rsidR="000546DA" w:rsidRPr="00C37E76" w:rsidRDefault="000546DA" w:rsidP="002F2D5C">
      <w:pPr>
        <w:pStyle w:val="a5"/>
        <w:numPr>
          <w:ilvl w:val="0"/>
          <w:numId w:val="48"/>
        </w:numPr>
        <w:spacing w:before="0" w:after="0"/>
        <w:jc w:val="left"/>
        <w:rPr>
          <w:rFonts w:eastAsia="Times New Roman"/>
          <w:szCs w:val="24"/>
          <w:lang w:eastAsia="ru-RU"/>
        </w:rPr>
      </w:pPr>
      <w:r w:rsidRPr="00C37E76">
        <w:rPr>
          <w:rFonts w:eastAsia="Times New Roman"/>
          <w:szCs w:val="24"/>
          <w:lang w:eastAsia="ru-RU"/>
        </w:rPr>
        <w:t>Дексаметазон</w:t>
      </w:r>
      <w:r>
        <w:rPr>
          <w:rFonts w:eastAsia="Times New Roman"/>
          <w:szCs w:val="24"/>
          <w:lang w:eastAsia="ru-RU"/>
        </w:rPr>
        <w:t>**</w:t>
      </w:r>
      <w:r w:rsidRPr="00C37E76">
        <w:rPr>
          <w:rFonts w:eastAsia="Times New Roman"/>
          <w:szCs w:val="24"/>
          <w:lang w:eastAsia="ru-RU"/>
        </w:rPr>
        <w:t xml:space="preserve"> по 40 мг 1 раз в неделю </w:t>
      </w:r>
    </w:p>
    <w:p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VMCP</w:t>
      </w:r>
    </w:p>
    <w:p w:rsidR="000546DA" w:rsidRPr="00C37E76" w:rsidRDefault="000546DA" w:rsidP="002F2D5C">
      <w:pPr>
        <w:numPr>
          <w:ilvl w:val="0"/>
          <w:numId w:val="50"/>
        </w:numPr>
        <w:spacing w:before="0" w:after="0"/>
        <w:contextualSpacing/>
        <w:jc w:val="left"/>
        <w:rPr>
          <w:rFonts w:eastAsia="Times New Roman"/>
          <w:szCs w:val="24"/>
          <w:lang w:eastAsia="ru-RU"/>
        </w:rPr>
      </w:pPr>
      <w:r w:rsidRPr="00C37E76">
        <w:rPr>
          <w:rFonts w:eastAsia="Times New Roman"/>
          <w:szCs w:val="24"/>
          <w:lang w:eastAsia="ru-RU"/>
        </w:rPr>
        <w:t>Винкристин</w:t>
      </w:r>
      <w:r>
        <w:rPr>
          <w:rFonts w:eastAsia="Times New Roman"/>
          <w:szCs w:val="24"/>
          <w:lang w:eastAsia="ru-RU"/>
        </w:rPr>
        <w:t>**</w:t>
      </w:r>
      <w:r w:rsidRPr="00C37E76">
        <w:rPr>
          <w:rFonts w:eastAsia="Times New Roman"/>
          <w:szCs w:val="24"/>
          <w:lang w:eastAsia="ru-RU"/>
        </w:rPr>
        <w:t xml:space="preserve"> 1 мг/м</w:t>
      </w:r>
      <w:r w:rsidRPr="00C37E76">
        <w:rPr>
          <w:rFonts w:eastAsia="Times New Roman"/>
          <w:szCs w:val="24"/>
          <w:vertAlign w:val="superscript"/>
          <w:lang w:eastAsia="ru-RU"/>
        </w:rPr>
        <w:t>2</w:t>
      </w:r>
      <w:r w:rsidRPr="00C37E76">
        <w:rPr>
          <w:rFonts w:eastAsia="Times New Roman"/>
          <w:szCs w:val="24"/>
          <w:lang w:eastAsia="ru-RU"/>
        </w:rPr>
        <w:t xml:space="preserve"> в/в, день 1</w:t>
      </w:r>
      <w:r w:rsidR="00522C92">
        <w:rPr>
          <w:rFonts w:eastAsia="Times New Roman"/>
          <w:szCs w:val="24"/>
          <w:lang w:eastAsia="ru-RU"/>
        </w:rPr>
        <w:t>-й</w:t>
      </w:r>
    </w:p>
    <w:p w:rsidR="000546DA" w:rsidRPr="00C37E76" w:rsidRDefault="000546DA" w:rsidP="002F2D5C">
      <w:pPr>
        <w:numPr>
          <w:ilvl w:val="0"/>
          <w:numId w:val="50"/>
        </w:numPr>
        <w:spacing w:before="0" w:after="0"/>
        <w:contextualSpacing/>
        <w:jc w:val="left"/>
        <w:rPr>
          <w:rFonts w:eastAsia="Times New Roman"/>
          <w:szCs w:val="24"/>
          <w:lang w:eastAsia="ru-RU"/>
        </w:rPr>
      </w:pPr>
      <w:r w:rsidRPr="00C37E76">
        <w:rPr>
          <w:rFonts w:eastAsia="Times New Roman"/>
          <w:szCs w:val="24"/>
          <w:lang w:eastAsia="ru-RU"/>
        </w:rPr>
        <w:t>Мелфалан</w:t>
      </w:r>
      <w:r>
        <w:rPr>
          <w:rFonts w:eastAsia="Times New Roman"/>
          <w:szCs w:val="24"/>
          <w:lang w:eastAsia="ru-RU"/>
        </w:rPr>
        <w:t>**</w:t>
      </w:r>
      <w:r w:rsidRPr="00C37E76">
        <w:rPr>
          <w:rFonts w:eastAsia="Times New Roman"/>
          <w:szCs w:val="24"/>
          <w:lang w:eastAsia="ru-RU"/>
        </w:rPr>
        <w:t xml:space="preserve"> 6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522C92">
        <w:rPr>
          <w:rFonts w:eastAsia="Times New Roman"/>
          <w:szCs w:val="24"/>
          <w:lang w:eastAsia="ru-RU"/>
        </w:rPr>
        <w:t>‒</w:t>
      </w:r>
      <w:r w:rsidRPr="00C37E76">
        <w:rPr>
          <w:rFonts w:eastAsia="Times New Roman"/>
          <w:szCs w:val="24"/>
          <w:lang w:eastAsia="ru-RU"/>
        </w:rPr>
        <w:t>4</w:t>
      </w:r>
      <w:r w:rsidR="00522C92">
        <w:rPr>
          <w:rFonts w:eastAsia="Times New Roman"/>
          <w:szCs w:val="24"/>
          <w:lang w:eastAsia="ru-RU"/>
        </w:rPr>
        <w:t>-й</w:t>
      </w:r>
    </w:p>
    <w:p w:rsidR="000546DA" w:rsidRPr="00C37E76" w:rsidRDefault="000546DA" w:rsidP="002F2D5C">
      <w:pPr>
        <w:numPr>
          <w:ilvl w:val="0"/>
          <w:numId w:val="50"/>
        </w:numPr>
        <w:spacing w:before="0" w:after="0"/>
        <w:contextualSpacing/>
        <w:jc w:val="left"/>
        <w:rPr>
          <w:rFonts w:eastAsia="Times New Roman"/>
          <w:szCs w:val="24"/>
          <w:lang w:eastAsia="ru-RU"/>
        </w:rPr>
      </w:pPr>
      <w:r w:rsidRPr="00C37E76">
        <w:rPr>
          <w:rFonts w:eastAsia="Times New Roman"/>
          <w:szCs w:val="24"/>
          <w:lang w:eastAsia="ru-RU"/>
        </w:rPr>
        <w:t>Циклофосфамид</w:t>
      </w:r>
      <w:r>
        <w:rPr>
          <w:rFonts w:eastAsia="Times New Roman"/>
          <w:szCs w:val="24"/>
          <w:lang w:eastAsia="ru-RU"/>
        </w:rPr>
        <w:t>**</w:t>
      </w:r>
      <w:r w:rsidRPr="00C37E76">
        <w:rPr>
          <w:rFonts w:eastAsia="Times New Roman"/>
          <w:szCs w:val="24"/>
          <w:lang w:eastAsia="ru-RU"/>
        </w:rPr>
        <w:t xml:space="preserve"> 125 мг/м</w:t>
      </w:r>
      <w:r w:rsidRPr="00C37E76">
        <w:rPr>
          <w:rFonts w:eastAsia="Times New Roman"/>
          <w:szCs w:val="24"/>
          <w:vertAlign w:val="superscript"/>
          <w:lang w:eastAsia="ru-RU"/>
        </w:rPr>
        <w:t>2</w:t>
      </w:r>
      <w:r w:rsidRPr="00C37E76">
        <w:rPr>
          <w:rFonts w:eastAsia="Times New Roman"/>
          <w:szCs w:val="24"/>
          <w:lang w:eastAsia="ru-RU"/>
        </w:rPr>
        <w:t xml:space="preserve"> в/в, дни 1</w:t>
      </w:r>
      <w:r w:rsidR="00522C92">
        <w:rPr>
          <w:rFonts w:eastAsia="Times New Roman"/>
          <w:szCs w:val="24"/>
          <w:lang w:eastAsia="ru-RU"/>
        </w:rPr>
        <w:t>‒</w:t>
      </w:r>
      <w:r w:rsidRPr="00C37E76">
        <w:rPr>
          <w:rFonts w:eastAsia="Times New Roman"/>
          <w:szCs w:val="24"/>
          <w:lang w:eastAsia="ru-RU"/>
        </w:rPr>
        <w:t>4</w:t>
      </w:r>
      <w:r w:rsidR="00522C92">
        <w:rPr>
          <w:rFonts w:eastAsia="Times New Roman"/>
          <w:szCs w:val="24"/>
          <w:lang w:eastAsia="ru-RU"/>
        </w:rPr>
        <w:t>-й</w:t>
      </w:r>
    </w:p>
    <w:p w:rsidR="000546DA" w:rsidRPr="00C37E76" w:rsidRDefault="000546DA" w:rsidP="002F2D5C">
      <w:pPr>
        <w:numPr>
          <w:ilvl w:val="0"/>
          <w:numId w:val="50"/>
        </w:numPr>
        <w:spacing w:before="0" w:after="0"/>
        <w:contextualSpacing/>
        <w:jc w:val="left"/>
        <w:rPr>
          <w:rFonts w:eastAsia="Times New Roman"/>
          <w:szCs w:val="24"/>
          <w:lang w:eastAsia="ru-RU"/>
        </w:rPr>
      </w:pPr>
      <w:r w:rsidRPr="00C37E76">
        <w:rPr>
          <w:rFonts w:eastAsia="Times New Roman"/>
          <w:szCs w:val="24"/>
          <w:lang w:eastAsia="ru-RU"/>
        </w:rPr>
        <w:t>Преднизолон</w:t>
      </w:r>
      <w:r>
        <w:rPr>
          <w:rFonts w:eastAsia="Times New Roman"/>
          <w:szCs w:val="24"/>
          <w:lang w:eastAsia="ru-RU"/>
        </w:rPr>
        <w:t>**</w:t>
      </w:r>
      <w:r w:rsidRPr="00C37E76">
        <w:rPr>
          <w:rFonts w:eastAsia="Times New Roman"/>
          <w:szCs w:val="24"/>
          <w:lang w:eastAsia="ru-RU"/>
        </w:rPr>
        <w:t xml:space="preserve"> 60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522C92">
        <w:rPr>
          <w:rFonts w:eastAsia="Times New Roman"/>
          <w:szCs w:val="24"/>
          <w:lang w:eastAsia="ru-RU"/>
        </w:rPr>
        <w:t>‒</w:t>
      </w:r>
      <w:r w:rsidRPr="00C37E76">
        <w:rPr>
          <w:rFonts w:eastAsia="Times New Roman"/>
          <w:szCs w:val="24"/>
          <w:lang w:eastAsia="ru-RU"/>
        </w:rPr>
        <w:t>4</w:t>
      </w:r>
      <w:r w:rsidR="00522C92">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22</w:t>
      </w:r>
      <w:r w:rsidR="00522C92">
        <w:rPr>
          <w:rFonts w:eastAsia="Times New Roman"/>
          <w:szCs w:val="24"/>
          <w:lang w:eastAsia="ru-RU"/>
        </w:rPr>
        <w:t>‒</w:t>
      </w:r>
      <w:r w:rsidRPr="00C37E76">
        <w:rPr>
          <w:rFonts w:eastAsia="Times New Roman"/>
          <w:szCs w:val="24"/>
          <w:lang w:eastAsia="ru-RU"/>
        </w:rPr>
        <w:t>29</w:t>
      </w:r>
      <w:r w:rsidR="00522C92">
        <w:rPr>
          <w:rFonts w:eastAsia="Times New Roman"/>
          <w:szCs w:val="24"/>
          <w:lang w:eastAsia="ru-RU"/>
        </w:rPr>
        <w:t>-й</w:t>
      </w:r>
      <w:r w:rsidRPr="00C37E76">
        <w:rPr>
          <w:rFonts w:eastAsia="Times New Roman"/>
          <w:szCs w:val="24"/>
          <w:lang w:eastAsia="ru-RU"/>
        </w:rPr>
        <w:t xml:space="preserve"> день</w:t>
      </w:r>
      <w:r w:rsidR="00522C92">
        <w:rPr>
          <w:rFonts w:eastAsia="Times New Roman"/>
          <w:szCs w:val="24"/>
          <w:lang w:eastAsia="ru-RU"/>
        </w:rPr>
        <w:t>.</w:t>
      </w:r>
    </w:p>
    <w:p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VBAP</w:t>
      </w:r>
    </w:p>
    <w:p w:rsidR="000546DA" w:rsidRPr="00C37E76" w:rsidRDefault="000546DA" w:rsidP="002F2D5C">
      <w:pPr>
        <w:numPr>
          <w:ilvl w:val="0"/>
          <w:numId w:val="51"/>
        </w:numPr>
        <w:spacing w:before="0" w:after="0"/>
        <w:contextualSpacing/>
        <w:jc w:val="left"/>
        <w:rPr>
          <w:rFonts w:eastAsia="Times New Roman"/>
          <w:szCs w:val="24"/>
          <w:lang w:eastAsia="ru-RU"/>
        </w:rPr>
      </w:pPr>
      <w:r w:rsidRPr="00C37E76">
        <w:rPr>
          <w:rFonts w:eastAsia="Times New Roman"/>
          <w:szCs w:val="24"/>
          <w:lang w:eastAsia="ru-RU"/>
        </w:rPr>
        <w:t>Винкристин</w:t>
      </w:r>
      <w:r>
        <w:rPr>
          <w:rFonts w:eastAsia="Times New Roman"/>
          <w:szCs w:val="24"/>
          <w:lang w:eastAsia="ru-RU"/>
        </w:rPr>
        <w:t>**</w:t>
      </w:r>
      <w:r w:rsidRPr="00C37E76">
        <w:rPr>
          <w:rFonts w:eastAsia="Times New Roman"/>
          <w:szCs w:val="24"/>
          <w:lang w:eastAsia="ru-RU"/>
        </w:rPr>
        <w:t xml:space="preserve"> 1 мг/м</w:t>
      </w:r>
      <w:r w:rsidRPr="00C37E76">
        <w:rPr>
          <w:rFonts w:eastAsia="Times New Roman"/>
          <w:szCs w:val="24"/>
          <w:vertAlign w:val="superscript"/>
          <w:lang w:eastAsia="ru-RU"/>
        </w:rPr>
        <w:t>2</w:t>
      </w:r>
      <w:r w:rsidRPr="00C37E76">
        <w:rPr>
          <w:rFonts w:eastAsia="Times New Roman"/>
          <w:szCs w:val="24"/>
          <w:lang w:eastAsia="ru-RU"/>
        </w:rPr>
        <w:t xml:space="preserve"> в/в, день 1</w:t>
      </w:r>
      <w:r w:rsidR="00522C92">
        <w:rPr>
          <w:rFonts w:eastAsia="Times New Roman"/>
          <w:szCs w:val="24"/>
          <w:lang w:eastAsia="ru-RU"/>
        </w:rPr>
        <w:t>-й</w:t>
      </w:r>
    </w:p>
    <w:p w:rsidR="000546DA" w:rsidRPr="00C37E76" w:rsidRDefault="000546DA" w:rsidP="002F2D5C">
      <w:pPr>
        <w:numPr>
          <w:ilvl w:val="0"/>
          <w:numId w:val="51"/>
        </w:numPr>
        <w:spacing w:before="0" w:after="0"/>
        <w:contextualSpacing/>
        <w:jc w:val="left"/>
        <w:rPr>
          <w:rFonts w:eastAsia="Times New Roman"/>
          <w:szCs w:val="24"/>
          <w:lang w:eastAsia="ru-RU"/>
        </w:rPr>
      </w:pPr>
      <w:r w:rsidRPr="00C37E76">
        <w:rPr>
          <w:rFonts w:eastAsia="Times New Roman"/>
          <w:szCs w:val="24"/>
          <w:lang w:eastAsia="ru-RU"/>
        </w:rPr>
        <w:t>Кармустин</w:t>
      </w:r>
      <w:r>
        <w:rPr>
          <w:rFonts w:eastAsia="Times New Roman"/>
          <w:szCs w:val="24"/>
          <w:lang w:eastAsia="ru-RU"/>
        </w:rPr>
        <w:t>**</w:t>
      </w:r>
      <w:r w:rsidRPr="00C37E76">
        <w:rPr>
          <w:rFonts w:eastAsia="Times New Roman"/>
          <w:szCs w:val="24"/>
          <w:lang w:eastAsia="ru-RU"/>
        </w:rPr>
        <w:t xml:space="preserve"> 30 мг/м</w:t>
      </w:r>
      <w:r w:rsidRPr="00C37E76">
        <w:rPr>
          <w:rFonts w:eastAsia="Times New Roman"/>
          <w:szCs w:val="24"/>
          <w:vertAlign w:val="superscript"/>
          <w:lang w:eastAsia="ru-RU"/>
        </w:rPr>
        <w:t>2</w:t>
      </w:r>
      <w:r w:rsidRPr="00C37E76">
        <w:rPr>
          <w:rFonts w:eastAsia="Times New Roman"/>
          <w:szCs w:val="24"/>
          <w:lang w:eastAsia="ru-RU"/>
        </w:rPr>
        <w:t xml:space="preserve"> в/в, день 1</w:t>
      </w:r>
      <w:r w:rsidR="00522C92">
        <w:rPr>
          <w:rFonts w:eastAsia="Times New Roman"/>
          <w:szCs w:val="24"/>
          <w:lang w:eastAsia="ru-RU"/>
        </w:rPr>
        <w:t>-й</w:t>
      </w:r>
      <w:r w:rsidRPr="00C37E76">
        <w:rPr>
          <w:rFonts w:eastAsia="Times New Roman"/>
          <w:szCs w:val="24"/>
          <w:lang w:eastAsia="ru-RU"/>
        </w:rPr>
        <w:t xml:space="preserve"> (может быт</w:t>
      </w:r>
      <w:r w:rsidR="00522C92">
        <w:rPr>
          <w:rFonts w:eastAsia="Times New Roman"/>
          <w:szCs w:val="24"/>
          <w:lang w:eastAsia="ru-RU"/>
        </w:rPr>
        <w:t>ь заменен на ломустин 80 мг/сут</w:t>
      </w:r>
      <w:r w:rsidRPr="00C37E76">
        <w:rPr>
          <w:rFonts w:eastAsia="Times New Roman"/>
          <w:szCs w:val="24"/>
          <w:lang w:eastAsia="ru-RU"/>
        </w:rPr>
        <w:t xml:space="preserve"> внутрь)</w:t>
      </w:r>
    </w:p>
    <w:p w:rsidR="000546DA" w:rsidRPr="00C37E76" w:rsidRDefault="000546DA" w:rsidP="002F2D5C">
      <w:pPr>
        <w:numPr>
          <w:ilvl w:val="0"/>
          <w:numId w:val="51"/>
        </w:numPr>
        <w:spacing w:before="0" w:after="0"/>
        <w:contextualSpacing/>
        <w:jc w:val="left"/>
        <w:rPr>
          <w:rFonts w:eastAsia="Times New Roman"/>
          <w:szCs w:val="24"/>
          <w:lang w:eastAsia="ru-RU"/>
        </w:rPr>
      </w:pPr>
      <w:r w:rsidRPr="00C37E76">
        <w:rPr>
          <w:rFonts w:eastAsia="Times New Roman"/>
          <w:szCs w:val="24"/>
          <w:lang w:eastAsia="ru-RU"/>
        </w:rPr>
        <w:t>Доксорубицин</w:t>
      </w:r>
      <w:r>
        <w:rPr>
          <w:rFonts w:eastAsia="Times New Roman"/>
          <w:szCs w:val="24"/>
          <w:lang w:eastAsia="ru-RU"/>
        </w:rPr>
        <w:t>**</w:t>
      </w:r>
      <w:r w:rsidRPr="00C37E76">
        <w:rPr>
          <w:rFonts w:eastAsia="Times New Roman"/>
          <w:szCs w:val="24"/>
          <w:lang w:eastAsia="ru-RU"/>
        </w:rPr>
        <w:t xml:space="preserve"> 30 мг/м</w:t>
      </w:r>
      <w:r w:rsidRPr="00C37E76">
        <w:rPr>
          <w:rFonts w:eastAsia="Times New Roman"/>
          <w:szCs w:val="24"/>
          <w:vertAlign w:val="superscript"/>
          <w:lang w:eastAsia="ru-RU"/>
        </w:rPr>
        <w:t>2</w:t>
      </w:r>
      <w:r w:rsidRPr="00C37E76">
        <w:rPr>
          <w:rFonts w:eastAsia="Times New Roman"/>
          <w:szCs w:val="24"/>
          <w:lang w:eastAsia="ru-RU"/>
        </w:rPr>
        <w:t xml:space="preserve"> в/в, день 1</w:t>
      </w:r>
      <w:r w:rsidR="00522C92">
        <w:rPr>
          <w:rFonts w:eastAsia="Times New Roman"/>
          <w:szCs w:val="24"/>
          <w:lang w:eastAsia="ru-RU"/>
        </w:rPr>
        <w:t>-й</w:t>
      </w:r>
    </w:p>
    <w:p w:rsidR="000546DA" w:rsidRPr="00C37E76" w:rsidRDefault="000546DA" w:rsidP="002F2D5C">
      <w:pPr>
        <w:numPr>
          <w:ilvl w:val="0"/>
          <w:numId w:val="51"/>
        </w:numPr>
        <w:spacing w:before="0" w:after="0"/>
        <w:contextualSpacing/>
        <w:jc w:val="left"/>
        <w:rPr>
          <w:rFonts w:eastAsia="Times New Roman"/>
          <w:szCs w:val="24"/>
          <w:lang w:eastAsia="ru-RU"/>
        </w:rPr>
      </w:pPr>
      <w:r w:rsidRPr="00C37E76">
        <w:rPr>
          <w:rFonts w:eastAsia="Times New Roman"/>
          <w:szCs w:val="24"/>
          <w:lang w:eastAsia="ru-RU"/>
        </w:rPr>
        <w:t>Преднизолон</w:t>
      </w:r>
      <w:r>
        <w:rPr>
          <w:rFonts w:eastAsia="Times New Roman"/>
          <w:szCs w:val="24"/>
          <w:lang w:eastAsia="ru-RU"/>
        </w:rPr>
        <w:t>**</w:t>
      </w:r>
      <w:r w:rsidRPr="00C37E76">
        <w:rPr>
          <w:rFonts w:eastAsia="Times New Roman"/>
          <w:szCs w:val="24"/>
          <w:lang w:eastAsia="ru-RU"/>
        </w:rPr>
        <w:t xml:space="preserve"> 60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522C92">
        <w:rPr>
          <w:rFonts w:eastAsia="Times New Roman"/>
          <w:szCs w:val="24"/>
          <w:lang w:eastAsia="ru-RU"/>
        </w:rPr>
        <w:t>‒</w:t>
      </w:r>
      <w:r w:rsidRPr="00C37E76">
        <w:rPr>
          <w:rFonts w:eastAsia="Times New Roman"/>
          <w:szCs w:val="24"/>
          <w:lang w:eastAsia="ru-RU"/>
        </w:rPr>
        <w:t>4</w:t>
      </w:r>
      <w:r w:rsidR="00522C92">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22</w:t>
      </w:r>
      <w:r w:rsidR="00522C92">
        <w:rPr>
          <w:rFonts w:eastAsia="Times New Roman"/>
          <w:szCs w:val="24"/>
          <w:lang w:eastAsia="ru-RU"/>
        </w:rPr>
        <w:t>‒</w:t>
      </w:r>
      <w:r w:rsidRPr="00C37E76">
        <w:rPr>
          <w:rFonts w:eastAsia="Times New Roman"/>
          <w:szCs w:val="24"/>
          <w:lang w:eastAsia="ru-RU"/>
        </w:rPr>
        <w:t>29</w:t>
      </w:r>
      <w:r w:rsidR="00522C92">
        <w:rPr>
          <w:rFonts w:eastAsia="Times New Roman"/>
          <w:szCs w:val="24"/>
          <w:lang w:eastAsia="ru-RU"/>
        </w:rPr>
        <w:t>-й</w:t>
      </w:r>
      <w:r w:rsidRPr="00C37E76">
        <w:rPr>
          <w:rFonts w:eastAsia="Times New Roman"/>
          <w:szCs w:val="24"/>
          <w:lang w:eastAsia="ru-RU"/>
        </w:rPr>
        <w:t xml:space="preserve"> день</w:t>
      </w:r>
      <w:r w:rsidR="00522C92">
        <w:rPr>
          <w:rFonts w:eastAsia="Times New Roman"/>
          <w:szCs w:val="24"/>
          <w:lang w:eastAsia="ru-RU"/>
        </w:rPr>
        <w:t>.</w:t>
      </w:r>
    </w:p>
    <w:p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VBMCP (M2)</w:t>
      </w:r>
    </w:p>
    <w:p w:rsidR="000546DA" w:rsidRPr="00E93D36" w:rsidRDefault="000546DA" w:rsidP="002F2D5C">
      <w:pPr>
        <w:pStyle w:val="a5"/>
        <w:numPr>
          <w:ilvl w:val="0"/>
          <w:numId w:val="52"/>
        </w:numPr>
        <w:spacing w:before="0" w:after="0"/>
        <w:jc w:val="left"/>
        <w:rPr>
          <w:rFonts w:eastAsia="Times New Roman"/>
          <w:szCs w:val="24"/>
          <w:lang w:eastAsia="ru-RU"/>
        </w:rPr>
      </w:pPr>
      <w:r w:rsidRPr="00E93D36">
        <w:rPr>
          <w:rFonts w:eastAsia="Times New Roman"/>
          <w:szCs w:val="24"/>
          <w:lang w:eastAsia="ru-RU"/>
        </w:rPr>
        <w:lastRenderedPageBreak/>
        <w:t>Винкристин</w:t>
      </w:r>
      <w:r>
        <w:rPr>
          <w:rFonts w:eastAsia="Times New Roman"/>
          <w:szCs w:val="24"/>
          <w:lang w:eastAsia="ru-RU"/>
        </w:rPr>
        <w:t>**</w:t>
      </w:r>
      <w:r w:rsidRPr="00E93D36">
        <w:rPr>
          <w:rFonts w:eastAsia="Times New Roman"/>
          <w:szCs w:val="24"/>
          <w:lang w:eastAsia="ru-RU"/>
        </w:rPr>
        <w:t xml:space="preserve"> 1,2 мг/м</w:t>
      </w:r>
      <w:r w:rsidRPr="00E93D36">
        <w:rPr>
          <w:rFonts w:eastAsia="Times New Roman"/>
          <w:szCs w:val="24"/>
          <w:vertAlign w:val="superscript"/>
          <w:lang w:eastAsia="ru-RU"/>
        </w:rPr>
        <w:t>2</w:t>
      </w:r>
      <w:r w:rsidRPr="00E93D36">
        <w:rPr>
          <w:rFonts w:eastAsia="Times New Roman"/>
          <w:szCs w:val="24"/>
          <w:lang w:eastAsia="ru-RU"/>
        </w:rPr>
        <w:t xml:space="preserve"> в/в, день 1</w:t>
      </w:r>
      <w:r w:rsidR="00522C92">
        <w:rPr>
          <w:rFonts w:eastAsia="Times New Roman"/>
          <w:szCs w:val="24"/>
          <w:lang w:eastAsia="ru-RU"/>
        </w:rPr>
        <w:t>-й</w:t>
      </w:r>
    </w:p>
    <w:p w:rsidR="000546DA" w:rsidRPr="00E93D36" w:rsidRDefault="000546DA" w:rsidP="002F2D5C">
      <w:pPr>
        <w:pStyle w:val="a5"/>
        <w:numPr>
          <w:ilvl w:val="0"/>
          <w:numId w:val="52"/>
        </w:numPr>
        <w:spacing w:before="0" w:after="0"/>
        <w:jc w:val="left"/>
        <w:rPr>
          <w:rFonts w:eastAsia="Times New Roman"/>
          <w:szCs w:val="24"/>
          <w:lang w:eastAsia="ru-RU"/>
        </w:rPr>
      </w:pPr>
      <w:r w:rsidRPr="00E93D36">
        <w:rPr>
          <w:rFonts w:eastAsia="Times New Roman"/>
          <w:szCs w:val="24"/>
          <w:lang w:eastAsia="ru-RU"/>
        </w:rPr>
        <w:t>Кармустин</w:t>
      </w:r>
      <w:r>
        <w:rPr>
          <w:rFonts w:eastAsia="Times New Roman"/>
          <w:szCs w:val="24"/>
          <w:lang w:eastAsia="ru-RU"/>
        </w:rPr>
        <w:t>**</w:t>
      </w:r>
      <w:r w:rsidRPr="00E93D36">
        <w:rPr>
          <w:rFonts w:eastAsia="Times New Roman"/>
          <w:szCs w:val="24"/>
          <w:lang w:eastAsia="ru-RU"/>
        </w:rPr>
        <w:t xml:space="preserve"> 30 мг/м</w:t>
      </w:r>
      <w:r w:rsidRPr="00E93D36">
        <w:rPr>
          <w:rFonts w:eastAsia="Times New Roman"/>
          <w:szCs w:val="24"/>
          <w:vertAlign w:val="superscript"/>
          <w:lang w:eastAsia="ru-RU"/>
        </w:rPr>
        <w:t>2</w:t>
      </w:r>
      <w:r w:rsidRPr="00E93D36">
        <w:rPr>
          <w:rFonts w:eastAsia="Times New Roman"/>
          <w:szCs w:val="24"/>
          <w:lang w:eastAsia="ru-RU"/>
        </w:rPr>
        <w:t xml:space="preserve"> в/в, день 1</w:t>
      </w:r>
      <w:r w:rsidR="00522C92">
        <w:rPr>
          <w:rFonts w:eastAsia="Times New Roman"/>
          <w:szCs w:val="24"/>
          <w:lang w:eastAsia="ru-RU"/>
        </w:rPr>
        <w:t>-й</w:t>
      </w:r>
      <w:r w:rsidRPr="00E93D36">
        <w:rPr>
          <w:rFonts w:eastAsia="Times New Roman"/>
          <w:szCs w:val="24"/>
          <w:lang w:eastAsia="ru-RU"/>
        </w:rPr>
        <w:t xml:space="preserve"> (может быть заменен на ломустин 80 мг/сут внутрь)</w:t>
      </w:r>
    </w:p>
    <w:p w:rsidR="000546DA" w:rsidRPr="00E93D36" w:rsidRDefault="000546DA" w:rsidP="002F2D5C">
      <w:pPr>
        <w:pStyle w:val="a5"/>
        <w:numPr>
          <w:ilvl w:val="0"/>
          <w:numId w:val="52"/>
        </w:numPr>
        <w:spacing w:before="0" w:after="0"/>
        <w:jc w:val="left"/>
        <w:rPr>
          <w:rFonts w:eastAsia="Times New Roman"/>
          <w:szCs w:val="24"/>
          <w:lang w:eastAsia="ru-RU"/>
        </w:rPr>
      </w:pPr>
      <w:r w:rsidRPr="00E93D36">
        <w:rPr>
          <w:rFonts w:eastAsia="Times New Roman"/>
          <w:szCs w:val="24"/>
          <w:lang w:eastAsia="ru-RU"/>
        </w:rPr>
        <w:t>Мелфалан</w:t>
      </w:r>
      <w:r>
        <w:rPr>
          <w:rFonts w:eastAsia="Times New Roman"/>
          <w:szCs w:val="24"/>
          <w:lang w:eastAsia="ru-RU"/>
        </w:rPr>
        <w:t>**</w:t>
      </w:r>
      <w:r w:rsidRPr="00E93D36">
        <w:rPr>
          <w:rFonts w:eastAsia="Times New Roman"/>
          <w:szCs w:val="24"/>
          <w:lang w:eastAsia="ru-RU"/>
        </w:rPr>
        <w:t xml:space="preserve"> 8 мг/м</w:t>
      </w:r>
      <w:r w:rsidRPr="00E93D36">
        <w:rPr>
          <w:rFonts w:eastAsia="Times New Roman"/>
          <w:szCs w:val="24"/>
          <w:vertAlign w:val="superscript"/>
          <w:lang w:eastAsia="ru-RU"/>
        </w:rPr>
        <w:t>2</w:t>
      </w:r>
      <w:r w:rsidRPr="00E93D36">
        <w:rPr>
          <w:rFonts w:eastAsia="Times New Roman"/>
          <w:szCs w:val="24"/>
          <w:lang w:eastAsia="ru-RU"/>
        </w:rPr>
        <w:t xml:space="preserve"> внутрь, дни 1</w:t>
      </w:r>
      <w:r w:rsidR="00522C92">
        <w:rPr>
          <w:rFonts w:eastAsia="Times New Roman"/>
          <w:szCs w:val="24"/>
          <w:lang w:eastAsia="ru-RU"/>
        </w:rPr>
        <w:t>‒</w:t>
      </w:r>
      <w:r w:rsidRPr="00E93D36">
        <w:rPr>
          <w:rFonts w:eastAsia="Times New Roman"/>
          <w:szCs w:val="24"/>
          <w:lang w:eastAsia="ru-RU"/>
        </w:rPr>
        <w:t>4</w:t>
      </w:r>
      <w:r w:rsidR="00522C92">
        <w:rPr>
          <w:rFonts w:eastAsia="Times New Roman"/>
          <w:szCs w:val="24"/>
          <w:lang w:eastAsia="ru-RU"/>
        </w:rPr>
        <w:t>-й</w:t>
      </w:r>
    </w:p>
    <w:p w:rsidR="000546DA" w:rsidRPr="00E93D36" w:rsidRDefault="000546DA" w:rsidP="002F2D5C">
      <w:pPr>
        <w:pStyle w:val="a5"/>
        <w:numPr>
          <w:ilvl w:val="0"/>
          <w:numId w:val="52"/>
        </w:numPr>
        <w:spacing w:before="0" w:after="0"/>
        <w:jc w:val="left"/>
        <w:rPr>
          <w:rFonts w:eastAsia="Times New Roman"/>
          <w:szCs w:val="24"/>
          <w:lang w:eastAsia="ru-RU"/>
        </w:rPr>
      </w:pPr>
      <w:r w:rsidRPr="00E93D36">
        <w:rPr>
          <w:rFonts w:eastAsia="Times New Roman"/>
          <w:szCs w:val="24"/>
          <w:lang w:eastAsia="ru-RU"/>
        </w:rPr>
        <w:t>Циклофосфамид</w:t>
      </w:r>
      <w:r>
        <w:rPr>
          <w:rFonts w:eastAsia="Times New Roman"/>
          <w:szCs w:val="24"/>
          <w:lang w:eastAsia="ru-RU"/>
        </w:rPr>
        <w:t>**</w:t>
      </w:r>
      <w:r w:rsidRPr="00E93D36">
        <w:rPr>
          <w:rFonts w:eastAsia="Times New Roman"/>
          <w:szCs w:val="24"/>
          <w:lang w:eastAsia="ru-RU"/>
        </w:rPr>
        <w:t xml:space="preserve"> 400 мг/м</w:t>
      </w:r>
      <w:r w:rsidRPr="00E93D36">
        <w:rPr>
          <w:rFonts w:eastAsia="Times New Roman"/>
          <w:szCs w:val="24"/>
          <w:vertAlign w:val="superscript"/>
          <w:lang w:eastAsia="ru-RU"/>
        </w:rPr>
        <w:t>2</w:t>
      </w:r>
      <w:r w:rsidRPr="00E93D36">
        <w:rPr>
          <w:rFonts w:eastAsia="Times New Roman"/>
          <w:szCs w:val="24"/>
          <w:lang w:eastAsia="ru-RU"/>
        </w:rPr>
        <w:t xml:space="preserve"> в/в, день 1</w:t>
      </w:r>
      <w:r w:rsidR="00522C92">
        <w:rPr>
          <w:rFonts w:eastAsia="Times New Roman"/>
          <w:szCs w:val="24"/>
          <w:lang w:eastAsia="ru-RU"/>
        </w:rPr>
        <w:t>-й</w:t>
      </w:r>
    </w:p>
    <w:p w:rsidR="000546DA" w:rsidRPr="00E93D36" w:rsidRDefault="000546DA" w:rsidP="002F2D5C">
      <w:pPr>
        <w:pStyle w:val="a5"/>
        <w:numPr>
          <w:ilvl w:val="0"/>
          <w:numId w:val="52"/>
        </w:numPr>
        <w:spacing w:before="0" w:after="0"/>
        <w:jc w:val="left"/>
        <w:rPr>
          <w:rFonts w:eastAsia="Times New Roman"/>
          <w:szCs w:val="24"/>
          <w:lang w:eastAsia="ru-RU"/>
        </w:rPr>
      </w:pPr>
      <w:r w:rsidRPr="00E93D36">
        <w:rPr>
          <w:rFonts w:eastAsia="Times New Roman"/>
          <w:szCs w:val="24"/>
          <w:lang w:eastAsia="ru-RU"/>
        </w:rPr>
        <w:t>Преднизолон</w:t>
      </w:r>
      <w:r>
        <w:rPr>
          <w:rFonts w:eastAsia="Times New Roman"/>
          <w:szCs w:val="24"/>
          <w:lang w:eastAsia="ru-RU"/>
        </w:rPr>
        <w:t>**</w:t>
      </w:r>
      <w:r w:rsidRPr="00E93D36">
        <w:rPr>
          <w:rFonts w:eastAsia="Times New Roman"/>
          <w:szCs w:val="24"/>
          <w:lang w:eastAsia="ru-RU"/>
        </w:rPr>
        <w:t xml:space="preserve"> 40 мг/м</w:t>
      </w:r>
      <w:r w:rsidRPr="00E93D36">
        <w:rPr>
          <w:rFonts w:eastAsia="Times New Roman"/>
          <w:szCs w:val="24"/>
          <w:vertAlign w:val="superscript"/>
          <w:lang w:eastAsia="ru-RU"/>
        </w:rPr>
        <w:t>2</w:t>
      </w:r>
      <w:r w:rsidRPr="00E93D36">
        <w:rPr>
          <w:rFonts w:eastAsia="Times New Roman"/>
          <w:szCs w:val="24"/>
          <w:lang w:eastAsia="ru-RU"/>
        </w:rPr>
        <w:t xml:space="preserve"> внутрь, дни 1</w:t>
      </w:r>
      <w:r w:rsidR="00522C92">
        <w:rPr>
          <w:rFonts w:eastAsia="Times New Roman"/>
          <w:szCs w:val="24"/>
          <w:lang w:eastAsia="ru-RU"/>
        </w:rPr>
        <w:t>‒</w:t>
      </w:r>
      <w:r w:rsidRPr="00E93D36">
        <w:rPr>
          <w:rFonts w:eastAsia="Times New Roman"/>
          <w:szCs w:val="24"/>
          <w:lang w:eastAsia="ru-RU"/>
        </w:rPr>
        <w:t>7</w:t>
      </w:r>
      <w:r w:rsidR="00522C92">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36</w:t>
      </w:r>
      <w:r w:rsidR="00522C92">
        <w:rPr>
          <w:rFonts w:eastAsia="Times New Roman"/>
          <w:szCs w:val="24"/>
          <w:lang w:eastAsia="ru-RU"/>
        </w:rPr>
        <w:t>‒</w:t>
      </w:r>
      <w:r w:rsidRPr="00C37E76">
        <w:rPr>
          <w:rFonts w:eastAsia="Times New Roman"/>
          <w:szCs w:val="24"/>
          <w:lang w:eastAsia="ru-RU"/>
        </w:rPr>
        <w:t>43</w:t>
      </w:r>
      <w:r w:rsidR="00522C92">
        <w:rPr>
          <w:rFonts w:eastAsia="Times New Roman"/>
          <w:szCs w:val="24"/>
          <w:lang w:eastAsia="ru-RU"/>
        </w:rPr>
        <w:t>-й</w:t>
      </w:r>
      <w:r w:rsidRPr="00C37E76">
        <w:rPr>
          <w:rFonts w:eastAsia="Times New Roman"/>
          <w:szCs w:val="24"/>
          <w:lang w:eastAsia="ru-RU"/>
        </w:rPr>
        <w:t xml:space="preserve"> день</w:t>
      </w:r>
      <w:r w:rsidR="00522C92">
        <w:rPr>
          <w:rFonts w:eastAsia="Times New Roman"/>
          <w:szCs w:val="24"/>
          <w:lang w:eastAsia="ru-RU"/>
        </w:rPr>
        <w:t>.</w:t>
      </w:r>
    </w:p>
    <w:p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CD</w:t>
      </w:r>
    </w:p>
    <w:p w:rsidR="000546DA" w:rsidRPr="00E93D36" w:rsidRDefault="000546DA" w:rsidP="002F2D5C">
      <w:pPr>
        <w:pStyle w:val="a5"/>
        <w:numPr>
          <w:ilvl w:val="0"/>
          <w:numId w:val="53"/>
        </w:numPr>
        <w:spacing w:before="0" w:after="0"/>
        <w:jc w:val="left"/>
        <w:rPr>
          <w:rFonts w:eastAsia="Times New Roman"/>
          <w:szCs w:val="24"/>
          <w:lang w:eastAsia="ru-RU"/>
        </w:rPr>
      </w:pPr>
      <w:r w:rsidRPr="00E93D36">
        <w:rPr>
          <w:rFonts w:eastAsia="Times New Roman"/>
          <w:szCs w:val="24"/>
          <w:lang w:eastAsia="ru-RU"/>
        </w:rPr>
        <w:t>Циклофосфамид</w:t>
      </w:r>
      <w:r>
        <w:rPr>
          <w:rFonts w:eastAsia="Times New Roman"/>
          <w:szCs w:val="24"/>
          <w:lang w:eastAsia="ru-RU"/>
        </w:rPr>
        <w:t>**</w:t>
      </w:r>
      <w:r w:rsidRPr="00E93D36">
        <w:rPr>
          <w:rFonts w:eastAsia="Times New Roman"/>
          <w:szCs w:val="24"/>
          <w:lang w:eastAsia="ru-RU"/>
        </w:rPr>
        <w:t xml:space="preserve"> 600 мг/м</w:t>
      </w:r>
      <w:r w:rsidRPr="00E93D36">
        <w:rPr>
          <w:rFonts w:eastAsia="Times New Roman"/>
          <w:szCs w:val="24"/>
          <w:vertAlign w:val="superscript"/>
          <w:lang w:eastAsia="ru-RU"/>
        </w:rPr>
        <w:t>2</w:t>
      </w:r>
      <w:r w:rsidRPr="00E93D36">
        <w:rPr>
          <w:rFonts w:eastAsia="Times New Roman"/>
          <w:szCs w:val="24"/>
          <w:lang w:eastAsia="ru-RU"/>
        </w:rPr>
        <w:t xml:space="preserve"> в/в, дни 1</w:t>
      </w:r>
      <w:r w:rsidR="00522C92">
        <w:rPr>
          <w:rFonts w:eastAsia="Times New Roman"/>
          <w:szCs w:val="24"/>
          <w:lang w:eastAsia="ru-RU"/>
        </w:rPr>
        <w:t>‒</w:t>
      </w:r>
      <w:r w:rsidRPr="00E93D36">
        <w:rPr>
          <w:rFonts w:eastAsia="Times New Roman"/>
          <w:szCs w:val="24"/>
          <w:lang w:eastAsia="ru-RU"/>
        </w:rPr>
        <w:t>4</w:t>
      </w:r>
      <w:r w:rsidR="00522C92">
        <w:rPr>
          <w:rFonts w:eastAsia="Times New Roman"/>
          <w:szCs w:val="24"/>
          <w:lang w:eastAsia="ru-RU"/>
        </w:rPr>
        <w:t>-й</w:t>
      </w:r>
    </w:p>
    <w:p w:rsidR="000546DA" w:rsidRPr="00E93D36" w:rsidRDefault="000546DA" w:rsidP="002F2D5C">
      <w:pPr>
        <w:pStyle w:val="a5"/>
        <w:numPr>
          <w:ilvl w:val="0"/>
          <w:numId w:val="53"/>
        </w:numPr>
        <w:spacing w:before="0" w:after="0"/>
        <w:jc w:val="left"/>
        <w:rPr>
          <w:rFonts w:eastAsia="Times New Roman"/>
          <w:szCs w:val="24"/>
          <w:lang w:eastAsia="ru-RU"/>
        </w:rPr>
      </w:pPr>
      <w:r w:rsidRPr="00E93D36">
        <w:rPr>
          <w:rFonts w:eastAsia="Times New Roman"/>
          <w:szCs w:val="24"/>
          <w:lang w:eastAsia="ru-RU"/>
        </w:rPr>
        <w:t>Дексаметазон</w:t>
      </w:r>
      <w:r>
        <w:rPr>
          <w:rFonts w:eastAsia="Times New Roman"/>
          <w:szCs w:val="24"/>
          <w:lang w:eastAsia="ru-RU"/>
        </w:rPr>
        <w:t>**</w:t>
      </w:r>
      <w:r w:rsidRPr="00E93D36">
        <w:rPr>
          <w:rFonts w:eastAsia="Times New Roman"/>
          <w:szCs w:val="24"/>
          <w:lang w:eastAsia="ru-RU"/>
        </w:rPr>
        <w:t xml:space="preserve"> 40 мг внутрь, дни 1</w:t>
      </w:r>
      <w:r w:rsidR="00522C92">
        <w:rPr>
          <w:rFonts w:eastAsia="Times New Roman"/>
          <w:szCs w:val="24"/>
          <w:lang w:eastAsia="ru-RU"/>
        </w:rPr>
        <w:t>‒</w:t>
      </w:r>
      <w:r w:rsidRPr="00E93D36">
        <w:rPr>
          <w:rFonts w:eastAsia="Times New Roman"/>
          <w:szCs w:val="24"/>
          <w:lang w:eastAsia="ru-RU"/>
        </w:rPr>
        <w:t>4</w:t>
      </w:r>
      <w:r w:rsidR="00522C92">
        <w:rPr>
          <w:rFonts w:eastAsia="Times New Roman"/>
          <w:szCs w:val="24"/>
          <w:lang w:eastAsia="ru-RU"/>
        </w:rPr>
        <w:t>-й</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29</w:t>
      </w:r>
      <w:r w:rsidR="00522C92">
        <w:rPr>
          <w:rFonts w:eastAsia="Times New Roman"/>
          <w:szCs w:val="24"/>
          <w:lang w:eastAsia="ru-RU"/>
        </w:rPr>
        <w:t>-й</w:t>
      </w:r>
      <w:r w:rsidRPr="00C37E76">
        <w:rPr>
          <w:rFonts w:eastAsia="Times New Roman"/>
          <w:szCs w:val="24"/>
          <w:lang w:eastAsia="ru-RU"/>
        </w:rPr>
        <w:t xml:space="preserve"> день</w:t>
      </w:r>
    </w:p>
    <w:p w:rsidR="000546DA" w:rsidRPr="006A0AFE" w:rsidRDefault="000546DA" w:rsidP="00131E36">
      <w:pPr>
        <w:spacing w:before="0" w:after="0"/>
        <w:contextualSpacing/>
        <w:rPr>
          <w:rFonts w:eastAsia="Times New Roman"/>
          <w:b/>
          <w:szCs w:val="24"/>
          <w:lang w:val="en-US" w:eastAsia="ru-RU"/>
        </w:rPr>
      </w:pPr>
      <w:r w:rsidRPr="00C37E76">
        <w:rPr>
          <w:rFonts w:eastAsia="Times New Roman"/>
          <w:b/>
          <w:szCs w:val="24"/>
          <w:lang w:eastAsia="ru-RU"/>
        </w:rPr>
        <w:t>DCEP</w:t>
      </w:r>
      <w:r w:rsidR="006A0AFE">
        <w:rPr>
          <w:rFonts w:eastAsia="Times New Roman"/>
          <w:b/>
          <w:szCs w:val="24"/>
          <w:lang w:val="en-US" w:eastAsia="ru-RU"/>
        </w:rPr>
        <w:t xml:space="preserve"> </w:t>
      </w:r>
      <w:r w:rsidR="006A0AFE">
        <w:rPr>
          <w:rFonts w:eastAsia="Times New Roman"/>
          <w:b/>
          <w:szCs w:val="24"/>
          <w:lang w:val="en-US" w:eastAsia="ru-RU"/>
        </w:rPr>
        <w:fldChar w:fldCharType="begin" w:fldLock="1"/>
      </w:r>
      <w:r w:rsidR="00315D6A">
        <w:rPr>
          <w:rFonts w:eastAsia="Times New Roman"/>
          <w:b/>
          <w:szCs w:val="24"/>
          <w:lang w:val="en-US" w:eastAsia="ru-RU"/>
        </w:rPr>
        <w:instrText>ADDIN CSL_CITATION {"citationItems":[{"id":"ITEM-1","itemData":{"ISSN":"1107-0625","PMID":"17436400","abstract":"PURPOSE The purpose of this study was to assess the efficacy and toxicity of DCEP (dexamethasone, cyclophosphamide, etoposide, cisplatin), as third-line regimen in relapsed or refractory multiple myeloma (MM) patients. PATIENTS AND METHODS Twelve patients (11 men, 1 woman, aged 38-73 years, median 58) with relapsed or refractory MM received 28 cycles of DCEP. Eleven out of 12 patients had already failed 4-6 cycles of VAD (vincristine, doxorubicin, dexamethasone), 7/12 had received 2 or more lines of prior therapy and one of them had high-dose therapy with stem cell support. Seven out of 12 patients were candidates for megatherapy with autologous peripheral blood stem cells transplantation (ASCT) either as consolidation or as salvage treatment. Each cycle of DCEP consisted of cyclophosphamide 400 mg/m(2)/daily, cisplatin 15 mg/m(2)/daily and etoposide 40 mg/m(2)/daily as a 24h infusion, all three drugs administered on days 1-4; plus dexamethasone i.v. bolus 40 mg daily, days 1-4. The dose of cisplatin was adjusted in case of renal impairment. G-CSF was administered daily from day +5 to recovery. The course was repeated every 28 days or was delayed 5-10 days according to the patient's clinical condition. RESULTS The regimen was well tolerated with no major adverse reactions, except for grade 3 or 4 myelotoxicity of short duration. Responses were assessed using the EBMT criteria after the second cycle. Two out of 12 patients achieved complete remission (CR) and 5/12 partial remission (PR), while 5/12 had no response (NR). The overall response (OR) was 58.3% with a median response duration 9 months (range 4-36). Four patients proceeded to successful peripheral blood stem cell mobilization and transplantation. CONCLUSIONS DCEP is an effective and safe salvage treatment for relapsed or refractory MM patients which also offers the possibility for a successful peripheral blood stem cells collection in patients eligible for high-dose therapy and ASCT.","author":[{"dropping-particle":"","family":"Dadacaridou","given":"M","non-dropping-particle":"","parse-names":false,"suffix":""},{"dropping-particle":"","family":"Papanicolaou","given":"X","non-dropping-particle":"","parse-names":false,"suffix":""},{"dropping-particle":"","family":"Maltesas","given":"D","non-dropping-particle":"","parse-names":false,"suffix":""},{"dropping-particle":"","family":"Megalakaki","given":"C","non-dropping-particle":"","parse-names":false,"suffix":""},{"dropping-particle":"","family":"Patos","given":"P","non-dropping-particle":"","parse-names":false,"suffix":""},{"dropping-particle":"","family":"Panteli","given":"K","non-dropping-particle":"","parse-names":false,"suffix":""},{"dropping-particle":"","family":"Repousis","given":"P","non-dropping-particle":"","parse-names":false,"suffix":""},{"dropping-particle":"","family":"Mitsouli-Mentzikof","given":"C","non-dropping-particle":"","parse-names":false,"suffix":""}],"container-title":"Journal of B.U.ON. : official journal of the Balkan Union of Oncology","id":"ITEM-1","issue":"1","issued":{"date-parts":[["0"]]},"page":"41-4","title":"Dexamethasone, cyclophosphamide, etoposide and cisplatin (DCEP) for relapsed or refractory multiple myeloma patients.","type":"article-journal","volume":"12"},"uris":["http://www.mendeley.com/documents/?uuid=167ef954-b010-300e-bee1-fe4103db4375"]}],"mendeley":{"formattedCitation":"[80]","plainTextFormattedCitation":"[80]","previouslyFormattedCitation":"[79]"},"properties":{"noteIndex":0},"schema":"https://github.com/citation-style-language/schema/raw/master/csl-citation.json"}</w:instrText>
      </w:r>
      <w:r w:rsidR="006A0AFE">
        <w:rPr>
          <w:rFonts w:eastAsia="Times New Roman"/>
          <w:b/>
          <w:szCs w:val="24"/>
          <w:lang w:val="en-US" w:eastAsia="ru-RU"/>
        </w:rPr>
        <w:fldChar w:fldCharType="separate"/>
      </w:r>
      <w:r w:rsidR="00315D6A" w:rsidRPr="00315D6A">
        <w:rPr>
          <w:rFonts w:eastAsia="Times New Roman"/>
          <w:noProof/>
          <w:szCs w:val="24"/>
          <w:lang w:val="en-US" w:eastAsia="ru-RU"/>
        </w:rPr>
        <w:t>[80]</w:t>
      </w:r>
      <w:r w:rsidR="006A0AFE">
        <w:rPr>
          <w:rFonts w:eastAsia="Times New Roman"/>
          <w:b/>
          <w:szCs w:val="24"/>
          <w:lang w:val="en-US" w:eastAsia="ru-RU"/>
        </w:rPr>
        <w:fldChar w:fldCharType="end"/>
      </w:r>
    </w:p>
    <w:p w:rsidR="000546DA" w:rsidRPr="00E93D36" w:rsidRDefault="000546DA" w:rsidP="002F2D5C">
      <w:pPr>
        <w:pStyle w:val="a5"/>
        <w:numPr>
          <w:ilvl w:val="0"/>
          <w:numId w:val="54"/>
        </w:numPr>
        <w:spacing w:before="0" w:after="0"/>
        <w:jc w:val="left"/>
        <w:rPr>
          <w:rFonts w:eastAsia="Times New Roman"/>
          <w:szCs w:val="24"/>
          <w:lang w:eastAsia="ru-RU"/>
        </w:rPr>
      </w:pPr>
      <w:r w:rsidRPr="00E93D36">
        <w:rPr>
          <w:rFonts w:eastAsia="Times New Roman"/>
          <w:szCs w:val="24"/>
          <w:lang w:eastAsia="ru-RU"/>
        </w:rPr>
        <w:t>Дексаметазон</w:t>
      </w:r>
      <w:r>
        <w:rPr>
          <w:rFonts w:eastAsia="Times New Roman"/>
          <w:szCs w:val="24"/>
          <w:lang w:eastAsia="ru-RU"/>
        </w:rPr>
        <w:t>**</w:t>
      </w:r>
      <w:r w:rsidRPr="00E93D36">
        <w:rPr>
          <w:rFonts w:eastAsia="Times New Roman"/>
          <w:szCs w:val="24"/>
          <w:lang w:eastAsia="ru-RU"/>
        </w:rPr>
        <w:t xml:space="preserve"> 40 мг в/в, дни 1</w:t>
      </w:r>
      <w:r w:rsidR="00522C92">
        <w:rPr>
          <w:rFonts w:eastAsia="Times New Roman"/>
          <w:szCs w:val="24"/>
          <w:lang w:eastAsia="ru-RU"/>
        </w:rPr>
        <w:t>‒</w:t>
      </w:r>
      <w:r w:rsidRPr="00E93D36">
        <w:rPr>
          <w:rFonts w:eastAsia="Times New Roman"/>
          <w:szCs w:val="24"/>
          <w:lang w:eastAsia="ru-RU"/>
        </w:rPr>
        <w:t>4</w:t>
      </w:r>
      <w:r w:rsidR="00522C92">
        <w:rPr>
          <w:rFonts w:eastAsia="Times New Roman"/>
          <w:szCs w:val="24"/>
          <w:lang w:eastAsia="ru-RU"/>
        </w:rPr>
        <w:t>-й</w:t>
      </w:r>
    </w:p>
    <w:p w:rsidR="000546DA" w:rsidRPr="00BF55DF" w:rsidRDefault="000546DA" w:rsidP="002F2D5C">
      <w:pPr>
        <w:pStyle w:val="a5"/>
        <w:numPr>
          <w:ilvl w:val="0"/>
          <w:numId w:val="54"/>
        </w:numPr>
        <w:spacing w:before="0" w:after="0"/>
        <w:jc w:val="left"/>
        <w:rPr>
          <w:rFonts w:eastAsia="Times New Roman"/>
          <w:szCs w:val="24"/>
          <w:lang w:eastAsia="ru-RU"/>
        </w:rPr>
      </w:pPr>
      <w:r w:rsidRPr="00BF55DF">
        <w:rPr>
          <w:rFonts w:eastAsia="Times New Roman"/>
          <w:szCs w:val="24"/>
          <w:lang w:eastAsia="ru-RU"/>
        </w:rPr>
        <w:t>Циклофосфамид** 400 мг/м</w:t>
      </w:r>
      <w:r w:rsidRPr="00BF55DF">
        <w:rPr>
          <w:rFonts w:eastAsia="Times New Roman"/>
          <w:szCs w:val="24"/>
          <w:vertAlign w:val="superscript"/>
          <w:lang w:eastAsia="ru-RU"/>
        </w:rPr>
        <w:t>2</w:t>
      </w:r>
      <w:r w:rsidRPr="00BF55DF">
        <w:rPr>
          <w:rFonts w:eastAsia="Times New Roman"/>
          <w:szCs w:val="24"/>
          <w:lang w:eastAsia="ru-RU"/>
        </w:rPr>
        <w:t xml:space="preserve"> в/в 24-часовая инфузия, дни 1</w:t>
      </w:r>
      <w:r w:rsidR="00522C92" w:rsidRPr="00BF55DF">
        <w:rPr>
          <w:rFonts w:eastAsia="Times New Roman"/>
          <w:szCs w:val="24"/>
          <w:lang w:eastAsia="ru-RU"/>
        </w:rPr>
        <w:t>‒</w:t>
      </w:r>
      <w:r w:rsidRPr="00BF55DF">
        <w:rPr>
          <w:rFonts w:eastAsia="Times New Roman"/>
          <w:szCs w:val="24"/>
          <w:lang w:eastAsia="ru-RU"/>
        </w:rPr>
        <w:t>4</w:t>
      </w:r>
      <w:r w:rsidR="00522C92" w:rsidRPr="00BF55DF">
        <w:rPr>
          <w:rFonts w:eastAsia="Times New Roman"/>
          <w:szCs w:val="24"/>
          <w:lang w:eastAsia="ru-RU"/>
        </w:rPr>
        <w:t>-й</w:t>
      </w:r>
    </w:p>
    <w:p w:rsidR="000546DA" w:rsidRPr="00BF55DF" w:rsidRDefault="000546DA" w:rsidP="002F2D5C">
      <w:pPr>
        <w:pStyle w:val="a5"/>
        <w:numPr>
          <w:ilvl w:val="0"/>
          <w:numId w:val="54"/>
        </w:numPr>
        <w:spacing w:before="0" w:after="0"/>
        <w:jc w:val="left"/>
        <w:rPr>
          <w:rFonts w:eastAsia="Times New Roman"/>
          <w:szCs w:val="24"/>
          <w:lang w:eastAsia="ru-RU"/>
        </w:rPr>
      </w:pPr>
      <w:r w:rsidRPr="00BF55DF">
        <w:rPr>
          <w:rFonts w:eastAsia="Times New Roman"/>
          <w:szCs w:val="24"/>
          <w:lang w:eastAsia="ru-RU"/>
        </w:rPr>
        <w:t>#Этопозид** 40 мг/м</w:t>
      </w:r>
      <w:r w:rsidRPr="00BF55DF">
        <w:rPr>
          <w:rFonts w:eastAsia="Times New Roman"/>
          <w:szCs w:val="24"/>
          <w:vertAlign w:val="superscript"/>
          <w:lang w:eastAsia="ru-RU"/>
        </w:rPr>
        <w:t>2</w:t>
      </w:r>
      <w:r w:rsidRPr="00BF55DF">
        <w:rPr>
          <w:rFonts w:eastAsia="Times New Roman"/>
          <w:szCs w:val="24"/>
          <w:lang w:eastAsia="ru-RU"/>
        </w:rPr>
        <w:t xml:space="preserve"> в/в 24-часовая инфузия, дни 1</w:t>
      </w:r>
      <w:r w:rsidR="00522C92" w:rsidRPr="00BF55DF">
        <w:rPr>
          <w:rFonts w:eastAsia="Times New Roman"/>
          <w:szCs w:val="24"/>
          <w:lang w:eastAsia="ru-RU"/>
        </w:rPr>
        <w:t>‒</w:t>
      </w:r>
      <w:r w:rsidRPr="00BF55DF">
        <w:rPr>
          <w:rFonts w:eastAsia="Times New Roman"/>
          <w:szCs w:val="24"/>
          <w:lang w:eastAsia="ru-RU"/>
        </w:rPr>
        <w:t>4</w:t>
      </w:r>
      <w:r w:rsidR="00522C92" w:rsidRPr="00BF55DF">
        <w:rPr>
          <w:rFonts w:eastAsia="Times New Roman"/>
          <w:szCs w:val="24"/>
          <w:lang w:eastAsia="ru-RU"/>
        </w:rPr>
        <w:t>-й</w:t>
      </w:r>
    </w:p>
    <w:p w:rsidR="000546DA" w:rsidRPr="00BF55DF" w:rsidRDefault="000546DA" w:rsidP="002F2D5C">
      <w:pPr>
        <w:pStyle w:val="a5"/>
        <w:numPr>
          <w:ilvl w:val="0"/>
          <w:numId w:val="54"/>
        </w:numPr>
        <w:spacing w:before="0" w:after="0"/>
        <w:jc w:val="left"/>
        <w:rPr>
          <w:rFonts w:eastAsia="Times New Roman"/>
          <w:szCs w:val="24"/>
          <w:lang w:eastAsia="ru-RU"/>
        </w:rPr>
      </w:pPr>
      <w:r w:rsidRPr="00BF55DF">
        <w:rPr>
          <w:rFonts w:eastAsia="Times New Roman"/>
          <w:szCs w:val="24"/>
          <w:lang w:eastAsia="ru-RU"/>
        </w:rPr>
        <w:t>#Цисплатин** 15 мг/м</w:t>
      </w:r>
      <w:r w:rsidRPr="00BF55DF">
        <w:rPr>
          <w:rFonts w:eastAsia="Times New Roman"/>
          <w:szCs w:val="24"/>
          <w:vertAlign w:val="superscript"/>
          <w:lang w:eastAsia="ru-RU"/>
        </w:rPr>
        <w:t>2</w:t>
      </w:r>
      <w:r w:rsidRPr="00BF55DF">
        <w:rPr>
          <w:rFonts w:eastAsia="Times New Roman"/>
          <w:szCs w:val="24"/>
          <w:lang w:eastAsia="ru-RU"/>
        </w:rPr>
        <w:t xml:space="preserve"> в/в 24-часовая инфузия, дни 1</w:t>
      </w:r>
      <w:r w:rsidR="00522C92" w:rsidRPr="00BF55DF">
        <w:rPr>
          <w:rFonts w:eastAsia="Times New Roman"/>
          <w:szCs w:val="24"/>
          <w:lang w:eastAsia="ru-RU"/>
        </w:rPr>
        <w:t>‒</w:t>
      </w:r>
      <w:r w:rsidRPr="00BF55DF">
        <w:rPr>
          <w:rFonts w:eastAsia="Times New Roman"/>
          <w:szCs w:val="24"/>
          <w:lang w:eastAsia="ru-RU"/>
        </w:rPr>
        <w:t>4</w:t>
      </w:r>
      <w:r w:rsidR="00522C92" w:rsidRPr="00BF55DF">
        <w:rPr>
          <w:rFonts w:eastAsia="Times New Roman"/>
          <w:szCs w:val="24"/>
          <w:lang w:eastAsia="ru-RU"/>
        </w:rPr>
        <w:t>-й</w:t>
      </w:r>
      <w:r w:rsidRPr="00BF55DF">
        <w:rPr>
          <w:rFonts w:eastAsia="Times New Roman"/>
          <w:szCs w:val="24"/>
          <w:lang w:eastAsia="ru-RU"/>
        </w:rPr>
        <w:t xml:space="preserve"> (доза снижается при почечной недостаточности)</w:t>
      </w:r>
    </w:p>
    <w:p w:rsidR="000546DA" w:rsidRPr="00BF55DF" w:rsidRDefault="00221B7B" w:rsidP="002F2D5C">
      <w:pPr>
        <w:pStyle w:val="a5"/>
        <w:numPr>
          <w:ilvl w:val="0"/>
          <w:numId w:val="54"/>
        </w:numPr>
        <w:spacing w:before="0" w:after="0"/>
        <w:jc w:val="left"/>
        <w:rPr>
          <w:rFonts w:eastAsia="Times New Roman"/>
          <w:szCs w:val="24"/>
          <w:lang w:eastAsia="ru-RU"/>
        </w:rPr>
      </w:pPr>
      <w:r w:rsidRPr="00BF55DF">
        <w:rPr>
          <w:rFonts w:eastAsia="Times New Roman"/>
          <w:szCs w:val="24"/>
          <w:lang w:eastAsia="ru-RU"/>
        </w:rPr>
        <w:t>#</w:t>
      </w:r>
      <w:r w:rsidR="000546DA" w:rsidRPr="00BF55DF">
        <w:rPr>
          <w:rFonts w:eastAsia="Times New Roman"/>
          <w:szCs w:val="24"/>
          <w:lang w:eastAsia="ru-RU"/>
        </w:rPr>
        <w:t xml:space="preserve">Г-КСФ </w:t>
      </w:r>
      <w:r w:rsidR="006A0AFE" w:rsidRPr="00BF55DF">
        <w:rPr>
          <w:rFonts w:eastAsia="Times New Roman"/>
          <w:szCs w:val="24"/>
          <w:lang w:eastAsia="ru-RU"/>
        </w:rPr>
        <w:t xml:space="preserve">в дозировке согласно инструкции по применению препарата, </w:t>
      </w:r>
      <w:r w:rsidR="000546DA" w:rsidRPr="00BF55DF">
        <w:rPr>
          <w:rFonts w:eastAsia="Times New Roman"/>
          <w:szCs w:val="24"/>
          <w:lang w:eastAsia="ru-RU"/>
        </w:rPr>
        <w:t>с 5</w:t>
      </w:r>
      <w:r w:rsidR="00522C92" w:rsidRPr="00BF55DF">
        <w:rPr>
          <w:rFonts w:eastAsia="Times New Roman"/>
          <w:szCs w:val="24"/>
          <w:lang w:eastAsia="ru-RU"/>
        </w:rPr>
        <w:t>-го</w:t>
      </w:r>
      <w:r w:rsidR="000546DA" w:rsidRPr="00BF55DF">
        <w:rPr>
          <w:rFonts w:eastAsia="Times New Roman"/>
          <w:szCs w:val="24"/>
          <w:lang w:eastAsia="ru-RU"/>
        </w:rPr>
        <w:t xml:space="preserve"> дня до восстановления уровня нейтрофилов</w:t>
      </w:r>
    </w:p>
    <w:p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29</w:t>
      </w:r>
      <w:r w:rsidR="00522C92">
        <w:rPr>
          <w:rFonts w:eastAsia="Times New Roman"/>
          <w:szCs w:val="24"/>
          <w:lang w:eastAsia="ru-RU"/>
        </w:rPr>
        <w:t>-й</w:t>
      </w:r>
      <w:r w:rsidRPr="00C37E76">
        <w:rPr>
          <w:rFonts w:eastAsia="Times New Roman"/>
          <w:szCs w:val="24"/>
          <w:lang w:eastAsia="ru-RU"/>
        </w:rPr>
        <w:t xml:space="preserve"> день или откладывается на 5</w:t>
      </w:r>
      <w:r w:rsidR="00522C92">
        <w:rPr>
          <w:rFonts w:eastAsia="Times New Roman"/>
          <w:szCs w:val="24"/>
          <w:lang w:eastAsia="ru-RU"/>
        </w:rPr>
        <w:t>‒</w:t>
      </w:r>
      <w:r w:rsidRPr="00C37E76">
        <w:rPr>
          <w:rFonts w:eastAsia="Times New Roman"/>
          <w:szCs w:val="24"/>
          <w:lang w:eastAsia="ru-RU"/>
        </w:rPr>
        <w:t>10 дней по клиническим показаниям</w:t>
      </w:r>
      <w:r w:rsidR="00522C92">
        <w:rPr>
          <w:rFonts w:eastAsia="Times New Roman"/>
          <w:szCs w:val="24"/>
          <w:lang w:eastAsia="ru-RU"/>
        </w:rPr>
        <w:t>.</w:t>
      </w:r>
    </w:p>
    <w:p w:rsidR="000546DA" w:rsidRPr="00705691" w:rsidRDefault="000546DA" w:rsidP="00131E36">
      <w:pPr>
        <w:spacing w:before="0" w:after="0"/>
        <w:contextualSpacing/>
        <w:rPr>
          <w:rFonts w:eastAsia="Times New Roman"/>
          <w:b/>
          <w:szCs w:val="24"/>
          <w:lang w:eastAsia="ru-RU"/>
        </w:rPr>
      </w:pPr>
      <w:r w:rsidRPr="00C37E76">
        <w:rPr>
          <w:rFonts w:eastAsia="Times New Roman"/>
          <w:b/>
          <w:szCs w:val="24"/>
          <w:lang w:eastAsia="ru-RU"/>
        </w:rPr>
        <w:t>VD-PACE</w:t>
      </w:r>
      <w:r w:rsidR="001E16F8">
        <w:rPr>
          <w:rFonts w:eastAsia="Times New Roman"/>
          <w:b/>
          <w:szCs w:val="24"/>
          <w:lang w:val="en-US" w:eastAsia="ru-RU"/>
        </w:rPr>
        <w:t xml:space="preserve"> </w:t>
      </w:r>
      <w:r w:rsidR="001E16F8">
        <w:rPr>
          <w:rFonts w:eastAsia="Times New Roman"/>
          <w:b/>
          <w:szCs w:val="24"/>
          <w:lang w:val="en-US" w:eastAsia="ru-RU"/>
        </w:rPr>
        <w:fldChar w:fldCharType="begin" w:fldLock="1"/>
      </w:r>
      <w:r w:rsidR="00315D6A">
        <w:rPr>
          <w:rFonts w:eastAsia="Times New Roman"/>
          <w:b/>
          <w:szCs w:val="24"/>
          <w:lang w:val="en-US" w:eastAsia="ru-RU"/>
        </w:rPr>
        <w:instrText>ADDIN CSL_CITATION {"citationItems":[{"id":"ITEM-1","itemData":{"DOI":"10.1002/ajh.24954","ISSN":"03618609","author":[{"dropping-particle":"","family":"Lakshman","given":"Arjun","non-dropping-particle":"","parse-names":false,"suffix":""},{"dropping-particle":"","family":"Singh","given":"Preet Paul","non-dropping-particle":"","parse-names":false,"suffix":""},{"dropping-particle":"","family":"Rajkumar","given":"S. Vincent","non-dropping-particle":"","parse-names":false,"suffix":""},{"dropping-particle":"","family":"Dispenzieri","given":"Angela","non-dropping-particle":"","parse-names":false,"suffix":""},{"dropping-particle":"","family":"Lacy","given":"Martha Q.","non-dropping-particle":"","parse-names":false,"suffix":""},{"dropping-particle":"","family":"Gertz","given":"Morie A.","non-dropping-particle":"","parse-names":false,"suffix":""},{"dropping-particle":"","family":"Buadi","given":"Francis K.","non-dropping-particle":"","parse-names":false,"suffix":""},{"dropping-particle":"","family":"Dingli","given":"David","non-dropping-particle":"","parse-names":false,"suffix":""},{"dropping-particle":"","family":"Hwa","given":"Yi Lisa","non-dropping-particle":"","parse-names":false,"suffix":""},{"dropping-particle":"","family":"Fonder","given":"Amie L.","non-dropping-particle":"","parse-names":false,"suffix":""},{"dropping-particle":"","family":"Hobbs","given":"Miriam","non-dropping-particle":"","parse-names":false,"suffix":""},{"dropping-particle":"","family":"Hayman","given":"Suzanne R.","non-dropping-particle":"","parse-names":false,"suffix":""},{"dropping-particle":"","family":"Zeldenrust","given":"Steven R.","non-dropping-particle":"","parse-names":false,"suffix":""},{"dropping-particle":"","family":"Lust","given":"John A.","non-dropping-particle":"","parse-names":false,"suffix":""},{"dropping-particle":"","family":"Russell","given":"Stephen J.","non-dropping-particle":"","parse-names":false,"suffix":""},{"dropping-particle":"","family":"Leung","given":"Nelson","non-dropping-particle":"","parse-names":false,"suffix":""},{"dropping-particle":"","family":"Kapoor","given":"Prashant</w:instrText>
      </w:r>
      <w:r w:rsidR="00315D6A" w:rsidRPr="00D62DF3">
        <w:rPr>
          <w:rFonts w:eastAsia="Times New Roman"/>
          <w:b/>
          <w:szCs w:val="24"/>
          <w:lang w:eastAsia="ru-RU"/>
        </w:rPr>
        <w:instrText>","</w:instrText>
      </w:r>
      <w:r w:rsidR="00315D6A">
        <w:rPr>
          <w:rFonts w:eastAsia="Times New Roman"/>
          <w:b/>
          <w:szCs w:val="24"/>
          <w:lang w:val="en-US" w:eastAsia="ru-RU"/>
        </w:rPr>
        <w:instrText>non</w:instrText>
      </w:r>
      <w:r w:rsidR="00315D6A" w:rsidRPr="00D62DF3">
        <w:rPr>
          <w:rFonts w:eastAsia="Times New Roman"/>
          <w:b/>
          <w:szCs w:val="24"/>
          <w:lang w:eastAsia="ru-RU"/>
        </w:rPr>
        <w:instrText>-</w:instrText>
      </w:r>
      <w:r w:rsidR="00315D6A">
        <w:rPr>
          <w:rFonts w:eastAsia="Times New Roman"/>
          <w:b/>
          <w:szCs w:val="24"/>
          <w:lang w:val="en-US" w:eastAsia="ru-RU"/>
        </w:rPr>
        <w:instrText>dropping</w:instrText>
      </w:r>
      <w:r w:rsidR="00315D6A" w:rsidRPr="00D62DF3">
        <w:rPr>
          <w:rFonts w:eastAsia="Times New Roman"/>
          <w:b/>
          <w:szCs w:val="24"/>
          <w:lang w:eastAsia="ru-RU"/>
        </w:rPr>
        <w:instrText>-</w:instrText>
      </w:r>
      <w:r w:rsidR="00315D6A">
        <w:rPr>
          <w:rFonts w:eastAsia="Times New Roman"/>
          <w:b/>
          <w:szCs w:val="24"/>
          <w:lang w:val="en-US" w:eastAsia="ru-RU"/>
        </w:rPr>
        <w:instrText>particle</w:instrText>
      </w:r>
      <w:r w:rsidR="00315D6A" w:rsidRPr="00D62DF3">
        <w:rPr>
          <w:rFonts w:eastAsia="Times New Roman"/>
          <w:b/>
          <w:szCs w:val="24"/>
          <w:lang w:eastAsia="ru-RU"/>
        </w:rPr>
        <w:instrText>":"","</w:instrText>
      </w:r>
      <w:r w:rsidR="00315D6A">
        <w:rPr>
          <w:rFonts w:eastAsia="Times New Roman"/>
          <w:b/>
          <w:szCs w:val="24"/>
          <w:lang w:val="en-US" w:eastAsia="ru-RU"/>
        </w:rPr>
        <w:instrText>parse</w:instrText>
      </w:r>
      <w:r w:rsidR="00315D6A" w:rsidRPr="00D62DF3">
        <w:rPr>
          <w:rFonts w:eastAsia="Times New Roman"/>
          <w:b/>
          <w:szCs w:val="24"/>
          <w:lang w:eastAsia="ru-RU"/>
        </w:rPr>
        <w:instrText>-</w:instrText>
      </w:r>
      <w:r w:rsidR="00315D6A">
        <w:rPr>
          <w:rFonts w:eastAsia="Times New Roman"/>
          <w:b/>
          <w:szCs w:val="24"/>
          <w:lang w:val="en-US" w:eastAsia="ru-RU"/>
        </w:rPr>
        <w:instrText>names</w:instrText>
      </w:r>
      <w:r w:rsidR="00315D6A" w:rsidRPr="00D62DF3">
        <w:rPr>
          <w:rFonts w:eastAsia="Times New Roman"/>
          <w:b/>
          <w:szCs w:val="24"/>
          <w:lang w:eastAsia="ru-RU"/>
        </w:rPr>
        <w:instrText>":</w:instrText>
      </w:r>
      <w:r w:rsidR="00315D6A">
        <w:rPr>
          <w:rFonts w:eastAsia="Times New Roman"/>
          <w:b/>
          <w:szCs w:val="24"/>
          <w:lang w:val="en-US" w:eastAsia="ru-RU"/>
        </w:rPr>
        <w:instrText>false</w:instrText>
      </w:r>
      <w:r w:rsidR="00315D6A" w:rsidRPr="00D62DF3">
        <w:rPr>
          <w:rFonts w:eastAsia="Times New Roman"/>
          <w:b/>
          <w:szCs w:val="24"/>
          <w:lang w:eastAsia="ru-RU"/>
        </w:rPr>
        <w:instrText>,"</w:instrText>
      </w:r>
      <w:r w:rsidR="00315D6A">
        <w:rPr>
          <w:rFonts w:eastAsia="Times New Roman"/>
          <w:b/>
          <w:szCs w:val="24"/>
          <w:lang w:val="en-US" w:eastAsia="ru-RU"/>
        </w:rPr>
        <w:instrText>suffix</w:instrText>
      </w:r>
      <w:r w:rsidR="00315D6A" w:rsidRPr="00D62DF3">
        <w:rPr>
          <w:rFonts w:eastAsia="Times New Roman"/>
          <w:b/>
          <w:szCs w:val="24"/>
          <w:lang w:eastAsia="ru-RU"/>
        </w:rPr>
        <w:instrText>":""},{"</w:instrText>
      </w:r>
      <w:r w:rsidR="00315D6A">
        <w:rPr>
          <w:rFonts w:eastAsia="Times New Roman"/>
          <w:b/>
          <w:szCs w:val="24"/>
          <w:lang w:val="en-US" w:eastAsia="ru-RU"/>
        </w:rPr>
        <w:instrText>dropping</w:instrText>
      </w:r>
      <w:r w:rsidR="00315D6A" w:rsidRPr="00D62DF3">
        <w:rPr>
          <w:rFonts w:eastAsia="Times New Roman"/>
          <w:b/>
          <w:szCs w:val="24"/>
          <w:lang w:eastAsia="ru-RU"/>
        </w:rPr>
        <w:instrText>-</w:instrText>
      </w:r>
      <w:r w:rsidR="00315D6A">
        <w:rPr>
          <w:rFonts w:eastAsia="Times New Roman"/>
          <w:b/>
          <w:szCs w:val="24"/>
          <w:lang w:val="en-US" w:eastAsia="ru-RU"/>
        </w:rPr>
        <w:instrText>particle</w:instrText>
      </w:r>
      <w:r w:rsidR="00315D6A" w:rsidRPr="00D62DF3">
        <w:rPr>
          <w:rFonts w:eastAsia="Times New Roman"/>
          <w:b/>
          <w:szCs w:val="24"/>
          <w:lang w:eastAsia="ru-RU"/>
        </w:rPr>
        <w:instrText>":"","</w:instrText>
      </w:r>
      <w:r w:rsidR="00315D6A">
        <w:rPr>
          <w:rFonts w:eastAsia="Times New Roman"/>
          <w:b/>
          <w:szCs w:val="24"/>
          <w:lang w:val="en-US" w:eastAsia="ru-RU"/>
        </w:rPr>
        <w:instrText>family</w:instrText>
      </w:r>
      <w:r w:rsidR="00315D6A" w:rsidRPr="00D62DF3">
        <w:rPr>
          <w:rFonts w:eastAsia="Times New Roman"/>
          <w:b/>
          <w:szCs w:val="24"/>
          <w:lang w:eastAsia="ru-RU"/>
        </w:rPr>
        <w:instrText>":"</w:instrText>
      </w:r>
      <w:r w:rsidR="00315D6A">
        <w:rPr>
          <w:rFonts w:eastAsia="Times New Roman"/>
          <w:b/>
          <w:szCs w:val="24"/>
          <w:lang w:val="en-US" w:eastAsia="ru-RU"/>
        </w:rPr>
        <w:instrText>Go</w:instrText>
      </w:r>
      <w:r w:rsidR="00315D6A" w:rsidRPr="00D62DF3">
        <w:rPr>
          <w:rFonts w:eastAsia="Times New Roman"/>
          <w:b/>
          <w:szCs w:val="24"/>
          <w:lang w:eastAsia="ru-RU"/>
        </w:rPr>
        <w:instrText>","</w:instrText>
      </w:r>
      <w:r w:rsidR="00315D6A">
        <w:rPr>
          <w:rFonts w:eastAsia="Times New Roman"/>
          <w:b/>
          <w:szCs w:val="24"/>
          <w:lang w:val="en-US" w:eastAsia="ru-RU"/>
        </w:rPr>
        <w:instrText>given</w:instrText>
      </w:r>
      <w:r w:rsidR="00315D6A" w:rsidRPr="00D62DF3">
        <w:rPr>
          <w:rFonts w:eastAsia="Times New Roman"/>
          <w:b/>
          <w:szCs w:val="24"/>
          <w:lang w:eastAsia="ru-RU"/>
        </w:rPr>
        <w:instrText>":"</w:instrText>
      </w:r>
      <w:r w:rsidR="00315D6A">
        <w:rPr>
          <w:rFonts w:eastAsia="Times New Roman"/>
          <w:b/>
          <w:szCs w:val="24"/>
          <w:lang w:val="en-US" w:eastAsia="ru-RU"/>
        </w:rPr>
        <w:instrText>Ronald</w:instrText>
      </w:r>
      <w:r w:rsidR="00315D6A" w:rsidRPr="00D62DF3">
        <w:rPr>
          <w:rFonts w:eastAsia="Times New Roman"/>
          <w:b/>
          <w:szCs w:val="24"/>
          <w:lang w:eastAsia="ru-RU"/>
        </w:rPr>
        <w:instrText xml:space="preserve"> </w:instrText>
      </w:r>
      <w:r w:rsidR="00315D6A">
        <w:rPr>
          <w:rFonts w:eastAsia="Times New Roman"/>
          <w:b/>
          <w:szCs w:val="24"/>
          <w:lang w:val="en-US" w:eastAsia="ru-RU"/>
        </w:rPr>
        <w:instrText>S</w:instrText>
      </w:r>
      <w:r w:rsidR="00315D6A" w:rsidRPr="00D62DF3">
        <w:rPr>
          <w:rFonts w:eastAsia="Times New Roman"/>
          <w:b/>
          <w:szCs w:val="24"/>
          <w:lang w:eastAsia="ru-RU"/>
        </w:rPr>
        <w:instrText>.","</w:instrText>
      </w:r>
      <w:r w:rsidR="00315D6A">
        <w:rPr>
          <w:rFonts w:eastAsia="Times New Roman"/>
          <w:b/>
          <w:szCs w:val="24"/>
          <w:lang w:val="en-US" w:eastAsia="ru-RU"/>
        </w:rPr>
        <w:instrText>non</w:instrText>
      </w:r>
      <w:r w:rsidR="00315D6A" w:rsidRPr="00D62DF3">
        <w:rPr>
          <w:rFonts w:eastAsia="Times New Roman"/>
          <w:b/>
          <w:szCs w:val="24"/>
          <w:lang w:eastAsia="ru-RU"/>
        </w:rPr>
        <w:instrText>-</w:instrText>
      </w:r>
      <w:r w:rsidR="00315D6A">
        <w:rPr>
          <w:rFonts w:eastAsia="Times New Roman"/>
          <w:b/>
          <w:szCs w:val="24"/>
          <w:lang w:val="en-US" w:eastAsia="ru-RU"/>
        </w:rPr>
        <w:instrText>dropping</w:instrText>
      </w:r>
      <w:r w:rsidR="00315D6A" w:rsidRPr="00D62DF3">
        <w:rPr>
          <w:rFonts w:eastAsia="Times New Roman"/>
          <w:b/>
          <w:szCs w:val="24"/>
          <w:lang w:eastAsia="ru-RU"/>
        </w:rPr>
        <w:instrText>-</w:instrText>
      </w:r>
      <w:r w:rsidR="00315D6A">
        <w:rPr>
          <w:rFonts w:eastAsia="Times New Roman"/>
          <w:b/>
          <w:szCs w:val="24"/>
          <w:lang w:val="en-US" w:eastAsia="ru-RU"/>
        </w:rPr>
        <w:instrText>particle</w:instrText>
      </w:r>
      <w:r w:rsidR="00315D6A" w:rsidRPr="00D62DF3">
        <w:rPr>
          <w:rFonts w:eastAsia="Times New Roman"/>
          <w:b/>
          <w:szCs w:val="24"/>
          <w:lang w:eastAsia="ru-RU"/>
        </w:rPr>
        <w:instrText>":"","</w:instrText>
      </w:r>
      <w:r w:rsidR="00315D6A">
        <w:rPr>
          <w:rFonts w:eastAsia="Times New Roman"/>
          <w:b/>
          <w:szCs w:val="24"/>
          <w:lang w:val="en-US" w:eastAsia="ru-RU"/>
        </w:rPr>
        <w:instrText>parse</w:instrText>
      </w:r>
      <w:r w:rsidR="00315D6A" w:rsidRPr="00D62DF3">
        <w:rPr>
          <w:rFonts w:eastAsia="Times New Roman"/>
          <w:b/>
          <w:szCs w:val="24"/>
          <w:lang w:eastAsia="ru-RU"/>
        </w:rPr>
        <w:instrText>-</w:instrText>
      </w:r>
      <w:r w:rsidR="00315D6A">
        <w:rPr>
          <w:rFonts w:eastAsia="Times New Roman"/>
          <w:b/>
          <w:szCs w:val="24"/>
          <w:lang w:val="en-US" w:eastAsia="ru-RU"/>
        </w:rPr>
        <w:instrText>names</w:instrText>
      </w:r>
      <w:r w:rsidR="00315D6A" w:rsidRPr="00D62DF3">
        <w:rPr>
          <w:rFonts w:eastAsia="Times New Roman"/>
          <w:b/>
          <w:szCs w:val="24"/>
          <w:lang w:eastAsia="ru-RU"/>
        </w:rPr>
        <w:instrText>":</w:instrText>
      </w:r>
      <w:r w:rsidR="00315D6A">
        <w:rPr>
          <w:rFonts w:eastAsia="Times New Roman"/>
          <w:b/>
          <w:szCs w:val="24"/>
          <w:lang w:val="en-US" w:eastAsia="ru-RU"/>
        </w:rPr>
        <w:instrText>false</w:instrText>
      </w:r>
      <w:r w:rsidR="00315D6A" w:rsidRPr="00D62DF3">
        <w:rPr>
          <w:rFonts w:eastAsia="Times New Roman"/>
          <w:b/>
          <w:szCs w:val="24"/>
          <w:lang w:eastAsia="ru-RU"/>
        </w:rPr>
        <w:instrText>,"</w:instrText>
      </w:r>
      <w:r w:rsidR="00315D6A">
        <w:rPr>
          <w:rFonts w:eastAsia="Times New Roman"/>
          <w:b/>
          <w:szCs w:val="24"/>
          <w:lang w:val="en-US" w:eastAsia="ru-RU"/>
        </w:rPr>
        <w:instrText>suffix</w:instrText>
      </w:r>
      <w:r w:rsidR="00315D6A" w:rsidRPr="00D62DF3">
        <w:rPr>
          <w:rFonts w:eastAsia="Times New Roman"/>
          <w:b/>
          <w:szCs w:val="24"/>
          <w:lang w:eastAsia="ru-RU"/>
        </w:rPr>
        <w:instrText>":""},{"</w:instrText>
      </w:r>
      <w:r w:rsidR="00315D6A">
        <w:rPr>
          <w:rFonts w:eastAsia="Times New Roman"/>
          <w:b/>
          <w:szCs w:val="24"/>
          <w:lang w:val="en-US" w:eastAsia="ru-RU"/>
        </w:rPr>
        <w:instrText>dropping</w:instrText>
      </w:r>
      <w:r w:rsidR="00315D6A" w:rsidRPr="00D62DF3">
        <w:rPr>
          <w:rFonts w:eastAsia="Times New Roman"/>
          <w:b/>
          <w:szCs w:val="24"/>
          <w:lang w:eastAsia="ru-RU"/>
        </w:rPr>
        <w:instrText>-</w:instrText>
      </w:r>
      <w:r w:rsidR="00315D6A">
        <w:rPr>
          <w:rFonts w:eastAsia="Times New Roman"/>
          <w:b/>
          <w:szCs w:val="24"/>
          <w:lang w:val="en-US" w:eastAsia="ru-RU"/>
        </w:rPr>
        <w:instrText>particle</w:instrText>
      </w:r>
      <w:r w:rsidR="00315D6A" w:rsidRPr="00D62DF3">
        <w:rPr>
          <w:rFonts w:eastAsia="Times New Roman"/>
          <w:b/>
          <w:szCs w:val="24"/>
          <w:lang w:eastAsia="ru-RU"/>
        </w:rPr>
        <w:instrText>":"","</w:instrText>
      </w:r>
      <w:r w:rsidR="00315D6A">
        <w:rPr>
          <w:rFonts w:eastAsia="Times New Roman"/>
          <w:b/>
          <w:szCs w:val="24"/>
          <w:lang w:val="en-US" w:eastAsia="ru-RU"/>
        </w:rPr>
        <w:instrText>family</w:instrText>
      </w:r>
      <w:r w:rsidR="00315D6A" w:rsidRPr="00D62DF3">
        <w:rPr>
          <w:rFonts w:eastAsia="Times New Roman"/>
          <w:b/>
          <w:szCs w:val="24"/>
          <w:lang w:eastAsia="ru-RU"/>
        </w:rPr>
        <w:instrText>":"</w:instrText>
      </w:r>
      <w:r w:rsidR="00315D6A">
        <w:rPr>
          <w:rFonts w:eastAsia="Times New Roman"/>
          <w:b/>
          <w:szCs w:val="24"/>
          <w:lang w:val="en-US" w:eastAsia="ru-RU"/>
        </w:rPr>
        <w:instrText>Lin</w:instrText>
      </w:r>
      <w:r w:rsidR="00315D6A" w:rsidRPr="00D62DF3">
        <w:rPr>
          <w:rFonts w:eastAsia="Times New Roman"/>
          <w:b/>
          <w:szCs w:val="24"/>
          <w:lang w:eastAsia="ru-RU"/>
        </w:rPr>
        <w:instrText>","</w:instrText>
      </w:r>
      <w:r w:rsidR="00315D6A">
        <w:rPr>
          <w:rFonts w:eastAsia="Times New Roman"/>
          <w:b/>
          <w:szCs w:val="24"/>
          <w:lang w:val="en-US" w:eastAsia="ru-RU"/>
        </w:rPr>
        <w:instrText>given</w:instrText>
      </w:r>
      <w:r w:rsidR="00315D6A" w:rsidRPr="00D62DF3">
        <w:rPr>
          <w:rFonts w:eastAsia="Times New Roman"/>
          <w:b/>
          <w:szCs w:val="24"/>
          <w:lang w:eastAsia="ru-RU"/>
        </w:rPr>
        <w:instrText>":"</w:instrText>
      </w:r>
      <w:r w:rsidR="00315D6A">
        <w:rPr>
          <w:rFonts w:eastAsia="Times New Roman"/>
          <w:b/>
          <w:szCs w:val="24"/>
          <w:lang w:val="en-US" w:eastAsia="ru-RU"/>
        </w:rPr>
        <w:instrText>Yi</w:instrText>
      </w:r>
      <w:r w:rsidR="00315D6A" w:rsidRPr="00D62DF3">
        <w:rPr>
          <w:rFonts w:eastAsia="Times New Roman"/>
          <w:b/>
          <w:szCs w:val="24"/>
          <w:lang w:eastAsia="ru-RU"/>
        </w:rPr>
        <w:instrText>","</w:instrText>
      </w:r>
      <w:r w:rsidR="00315D6A">
        <w:rPr>
          <w:rFonts w:eastAsia="Times New Roman"/>
          <w:b/>
          <w:szCs w:val="24"/>
          <w:lang w:val="en-US" w:eastAsia="ru-RU"/>
        </w:rPr>
        <w:instrText>non</w:instrText>
      </w:r>
      <w:r w:rsidR="00315D6A" w:rsidRPr="00D62DF3">
        <w:rPr>
          <w:rFonts w:eastAsia="Times New Roman"/>
          <w:b/>
          <w:szCs w:val="24"/>
          <w:lang w:eastAsia="ru-RU"/>
        </w:rPr>
        <w:instrText>-</w:instrText>
      </w:r>
      <w:r w:rsidR="00315D6A">
        <w:rPr>
          <w:rFonts w:eastAsia="Times New Roman"/>
          <w:b/>
          <w:szCs w:val="24"/>
          <w:lang w:val="en-US" w:eastAsia="ru-RU"/>
        </w:rPr>
        <w:instrText>dropping</w:instrText>
      </w:r>
      <w:r w:rsidR="00315D6A" w:rsidRPr="00D62DF3">
        <w:rPr>
          <w:rFonts w:eastAsia="Times New Roman"/>
          <w:b/>
          <w:szCs w:val="24"/>
          <w:lang w:eastAsia="ru-RU"/>
        </w:rPr>
        <w:instrText>-</w:instrText>
      </w:r>
      <w:r w:rsidR="00315D6A">
        <w:rPr>
          <w:rFonts w:eastAsia="Times New Roman"/>
          <w:b/>
          <w:szCs w:val="24"/>
          <w:lang w:val="en-US" w:eastAsia="ru-RU"/>
        </w:rPr>
        <w:instrText>particle</w:instrText>
      </w:r>
      <w:r w:rsidR="00315D6A" w:rsidRPr="00D62DF3">
        <w:rPr>
          <w:rFonts w:eastAsia="Times New Roman"/>
          <w:b/>
          <w:szCs w:val="24"/>
          <w:lang w:eastAsia="ru-RU"/>
        </w:rPr>
        <w:instrText>":"","</w:instrText>
      </w:r>
      <w:r w:rsidR="00315D6A">
        <w:rPr>
          <w:rFonts w:eastAsia="Times New Roman"/>
          <w:b/>
          <w:szCs w:val="24"/>
          <w:lang w:val="en-US" w:eastAsia="ru-RU"/>
        </w:rPr>
        <w:instrText>parse</w:instrText>
      </w:r>
      <w:r w:rsidR="00315D6A" w:rsidRPr="00D62DF3">
        <w:rPr>
          <w:rFonts w:eastAsia="Times New Roman"/>
          <w:b/>
          <w:szCs w:val="24"/>
          <w:lang w:eastAsia="ru-RU"/>
        </w:rPr>
        <w:instrText>-</w:instrText>
      </w:r>
      <w:r w:rsidR="00315D6A">
        <w:rPr>
          <w:rFonts w:eastAsia="Times New Roman"/>
          <w:b/>
          <w:szCs w:val="24"/>
          <w:lang w:val="en-US" w:eastAsia="ru-RU"/>
        </w:rPr>
        <w:instrText>names</w:instrText>
      </w:r>
      <w:r w:rsidR="00315D6A" w:rsidRPr="00D62DF3">
        <w:rPr>
          <w:rFonts w:eastAsia="Times New Roman"/>
          <w:b/>
          <w:szCs w:val="24"/>
          <w:lang w:eastAsia="ru-RU"/>
        </w:rPr>
        <w:instrText>":</w:instrText>
      </w:r>
      <w:r w:rsidR="00315D6A">
        <w:rPr>
          <w:rFonts w:eastAsia="Times New Roman"/>
          <w:b/>
          <w:szCs w:val="24"/>
          <w:lang w:val="en-US" w:eastAsia="ru-RU"/>
        </w:rPr>
        <w:instrText>false</w:instrText>
      </w:r>
      <w:r w:rsidR="00315D6A" w:rsidRPr="00D62DF3">
        <w:rPr>
          <w:rFonts w:eastAsia="Times New Roman"/>
          <w:b/>
          <w:szCs w:val="24"/>
          <w:lang w:eastAsia="ru-RU"/>
        </w:rPr>
        <w:instrText>,"</w:instrText>
      </w:r>
      <w:r w:rsidR="00315D6A">
        <w:rPr>
          <w:rFonts w:eastAsia="Times New Roman"/>
          <w:b/>
          <w:szCs w:val="24"/>
          <w:lang w:val="en-US" w:eastAsia="ru-RU"/>
        </w:rPr>
        <w:instrText>suffix</w:instrText>
      </w:r>
      <w:r w:rsidR="00315D6A" w:rsidRPr="00D62DF3">
        <w:rPr>
          <w:rFonts w:eastAsia="Times New Roman"/>
          <w:b/>
          <w:szCs w:val="24"/>
          <w:lang w:eastAsia="ru-RU"/>
        </w:rPr>
        <w:instrText>":""},{"</w:instrText>
      </w:r>
      <w:r w:rsidR="00315D6A">
        <w:rPr>
          <w:rFonts w:eastAsia="Times New Roman"/>
          <w:b/>
          <w:szCs w:val="24"/>
          <w:lang w:val="en-US" w:eastAsia="ru-RU"/>
        </w:rPr>
        <w:instrText>dropping</w:instrText>
      </w:r>
      <w:r w:rsidR="00315D6A" w:rsidRPr="00D62DF3">
        <w:rPr>
          <w:rFonts w:eastAsia="Times New Roman"/>
          <w:b/>
          <w:szCs w:val="24"/>
          <w:lang w:eastAsia="ru-RU"/>
        </w:rPr>
        <w:instrText>-</w:instrText>
      </w:r>
      <w:r w:rsidR="00315D6A">
        <w:rPr>
          <w:rFonts w:eastAsia="Times New Roman"/>
          <w:b/>
          <w:szCs w:val="24"/>
          <w:lang w:val="en-US" w:eastAsia="ru-RU"/>
        </w:rPr>
        <w:instrText>particle</w:instrText>
      </w:r>
      <w:r w:rsidR="00315D6A" w:rsidRPr="00D62DF3">
        <w:rPr>
          <w:rFonts w:eastAsia="Times New Roman"/>
          <w:b/>
          <w:szCs w:val="24"/>
          <w:lang w:eastAsia="ru-RU"/>
        </w:rPr>
        <w:instrText>":"","</w:instrText>
      </w:r>
      <w:r w:rsidR="00315D6A">
        <w:rPr>
          <w:rFonts w:eastAsia="Times New Roman"/>
          <w:b/>
          <w:szCs w:val="24"/>
          <w:lang w:val="en-US" w:eastAsia="ru-RU"/>
        </w:rPr>
        <w:instrText>family</w:instrText>
      </w:r>
      <w:r w:rsidR="00315D6A" w:rsidRPr="00D62DF3">
        <w:rPr>
          <w:rFonts w:eastAsia="Times New Roman"/>
          <w:b/>
          <w:szCs w:val="24"/>
          <w:lang w:eastAsia="ru-RU"/>
        </w:rPr>
        <w:instrText>":"</w:instrText>
      </w:r>
      <w:r w:rsidR="00315D6A">
        <w:rPr>
          <w:rFonts w:eastAsia="Times New Roman"/>
          <w:b/>
          <w:szCs w:val="24"/>
          <w:lang w:val="en-US" w:eastAsia="ru-RU"/>
        </w:rPr>
        <w:instrText>Gonsalves</w:instrText>
      </w:r>
      <w:r w:rsidR="00315D6A" w:rsidRPr="00D62DF3">
        <w:rPr>
          <w:rFonts w:eastAsia="Times New Roman"/>
          <w:b/>
          <w:szCs w:val="24"/>
          <w:lang w:eastAsia="ru-RU"/>
        </w:rPr>
        <w:instrText>","</w:instrText>
      </w:r>
      <w:r w:rsidR="00315D6A">
        <w:rPr>
          <w:rFonts w:eastAsia="Times New Roman"/>
          <w:b/>
          <w:szCs w:val="24"/>
          <w:lang w:val="en-US" w:eastAsia="ru-RU"/>
        </w:rPr>
        <w:instrText>given</w:instrText>
      </w:r>
      <w:r w:rsidR="00315D6A" w:rsidRPr="00D62DF3">
        <w:rPr>
          <w:rFonts w:eastAsia="Times New Roman"/>
          <w:b/>
          <w:szCs w:val="24"/>
          <w:lang w:eastAsia="ru-RU"/>
        </w:rPr>
        <w:instrText>":"</w:instrText>
      </w:r>
      <w:r w:rsidR="00315D6A">
        <w:rPr>
          <w:rFonts w:eastAsia="Times New Roman"/>
          <w:b/>
          <w:szCs w:val="24"/>
          <w:lang w:val="en-US" w:eastAsia="ru-RU"/>
        </w:rPr>
        <w:instrText>Wilson</w:instrText>
      </w:r>
      <w:r w:rsidR="00315D6A" w:rsidRPr="00D62DF3">
        <w:rPr>
          <w:rFonts w:eastAsia="Times New Roman"/>
          <w:b/>
          <w:szCs w:val="24"/>
          <w:lang w:eastAsia="ru-RU"/>
        </w:rPr>
        <w:instrText xml:space="preserve"> </w:instrText>
      </w:r>
      <w:r w:rsidR="00315D6A">
        <w:rPr>
          <w:rFonts w:eastAsia="Times New Roman"/>
          <w:b/>
          <w:szCs w:val="24"/>
          <w:lang w:val="en-US" w:eastAsia="ru-RU"/>
        </w:rPr>
        <w:instrText>I</w:instrText>
      </w:r>
      <w:r w:rsidR="00315D6A" w:rsidRPr="00D62DF3">
        <w:rPr>
          <w:rFonts w:eastAsia="Times New Roman"/>
          <w:b/>
          <w:szCs w:val="24"/>
          <w:lang w:eastAsia="ru-RU"/>
        </w:rPr>
        <w:instrText>.","</w:instrText>
      </w:r>
      <w:r w:rsidR="00315D6A">
        <w:rPr>
          <w:rFonts w:eastAsia="Times New Roman"/>
          <w:b/>
          <w:szCs w:val="24"/>
          <w:lang w:val="en-US" w:eastAsia="ru-RU"/>
        </w:rPr>
        <w:instrText>non</w:instrText>
      </w:r>
      <w:r w:rsidR="00315D6A" w:rsidRPr="00D62DF3">
        <w:rPr>
          <w:rFonts w:eastAsia="Times New Roman"/>
          <w:b/>
          <w:szCs w:val="24"/>
          <w:lang w:eastAsia="ru-RU"/>
        </w:rPr>
        <w:instrText>-</w:instrText>
      </w:r>
      <w:r w:rsidR="00315D6A">
        <w:rPr>
          <w:rFonts w:eastAsia="Times New Roman"/>
          <w:b/>
          <w:szCs w:val="24"/>
          <w:lang w:val="en-US" w:eastAsia="ru-RU"/>
        </w:rPr>
        <w:instrText>dropping</w:instrText>
      </w:r>
      <w:r w:rsidR="00315D6A" w:rsidRPr="00D62DF3">
        <w:rPr>
          <w:rFonts w:eastAsia="Times New Roman"/>
          <w:b/>
          <w:szCs w:val="24"/>
          <w:lang w:eastAsia="ru-RU"/>
        </w:rPr>
        <w:instrText>-</w:instrText>
      </w:r>
      <w:r w:rsidR="00315D6A">
        <w:rPr>
          <w:rFonts w:eastAsia="Times New Roman"/>
          <w:b/>
          <w:szCs w:val="24"/>
          <w:lang w:val="en-US" w:eastAsia="ru-RU"/>
        </w:rPr>
        <w:instrText>particle</w:instrText>
      </w:r>
      <w:r w:rsidR="00315D6A" w:rsidRPr="00D62DF3">
        <w:rPr>
          <w:rFonts w:eastAsia="Times New Roman"/>
          <w:b/>
          <w:szCs w:val="24"/>
          <w:lang w:eastAsia="ru-RU"/>
        </w:rPr>
        <w:instrText>":"","</w:instrText>
      </w:r>
      <w:r w:rsidR="00315D6A">
        <w:rPr>
          <w:rFonts w:eastAsia="Times New Roman"/>
          <w:b/>
          <w:szCs w:val="24"/>
          <w:lang w:val="en-US" w:eastAsia="ru-RU"/>
        </w:rPr>
        <w:instrText>parse</w:instrText>
      </w:r>
      <w:r w:rsidR="00315D6A" w:rsidRPr="00D62DF3">
        <w:rPr>
          <w:rFonts w:eastAsia="Times New Roman"/>
          <w:b/>
          <w:szCs w:val="24"/>
          <w:lang w:eastAsia="ru-RU"/>
        </w:rPr>
        <w:instrText>-</w:instrText>
      </w:r>
      <w:r w:rsidR="00315D6A">
        <w:rPr>
          <w:rFonts w:eastAsia="Times New Roman"/>
          <w:b/>
          <w:szCs w:val="24"/>
          <w:lang w:val="en-US" w:eastAsia="ru-RU"/>
        </w:rPr>
        <w:instrText>names</w:instrText>
      </w:r>
      <w:r w:rsidR="00315D6A" w:rsidRPr="00D62DF3">
        <w:rPr>
          <w:rFonts w:eastAsia="Times New Roman"/>
          <w:b/>
          <w:szCs w:val="24"/>
          <w:lang w:eastAsia="ru-RU"/>
        </w:rPr>
        <w:instrText>":</w:instrText>
      </w:r>
      <w:r w:rsidR="00315D6A">
        <w:rPr>
          <w:rFonts w:eastAsia="Times New Roman"/>
          <w:b/>
          <w:szCs w:val="24"/>
          <w:lang w:val="en-US" w:eastAsia="ru-RU"/>
        </w:rPr>
        <w:instrText>false</w:instrText>
      </w:r>
      <w:r w:rsidR="00315D6A" w:rsidRPr="00D62DF3">
        <w:rPr>
          <w:rFonts w:eastAsia="Times New Roman"/>
          <w:b/>
          <w:szCs w:val="24"/>
          <w:lang w:eastAsia="ru-RU"/>
        </w:rPr>
        <w:instrText>,"</w:instrText>
      </w:r>
      <w:r w:rsidR="00315D6A">
        <w:rPr>
          <w:rFonts w:eastAsia="Times New Roman"/>
          <w:b/>
          <w:szCs w:val="24"/>
          <w:lang w:val="en-US" w:eastAsia="ru-RU"/>
        </w:rPr>
        <w:instrText>suffix</w:instrText>
      </w:r>
      <w:r w:rsidR="00315D6A" w:rsidRPr="00D62DF3">
        <w:rPr>
          <w:rFonts w:eastAsia="Times New Roman"/>
          <w:b/>
          <w:szCs w:val="24"/>
          <w:lang w:eastAsia="ru-RU"/>
        </w:rPr>
        <w:instrText>":""},{"</w:instrText>
      </w:r>
      <w:r w:rsidR="00315D6A">
        <w:rPr>
          <w:rFonts w:eastAsia="Times New Roman"/>
          <w:b/>
          <w:szCs w:val="24"/>
          <w:lang w:val="en-US" w:eastAsia="ru-RU"/>
        </w:rPr>
        <w:instrText>dropping</w:instrText>
      </w:r>
      <w:r w:rsidR="00315D6A" w:rsidRPr="00D62DF3">
        <w:rPr>
          <w:rFonts w:eastAsia="Times New Roman"/>
          <w:b/>
          <w:szCs w:val="24"/>
          <w:lang w:eastAsia="ru-RU"/>
        </w:rPr>
        <w:instrText>-</w:instrText>
      </w:r>
      <w:r w:rsidR="00315D6A">
        <w:rPr>
          <w:rFonts w:eastAsia="Times New Roman"/>
          <w:b/>
          <w:szCs w:val="24"/>
          <w:lang w:val="en-US" w:eastAsia="ru-RU"/>
        </w:rPr>
        <w:instrText>particle</w:instrText>
      </w:r>
      <w:r w:rsidR="00315D6A" w:rsidRPr="00D62DF3">
        <w:rPr>
          <w:rFonts w:eastAsia="Times New Roman"/>
          <w:b/>
          <w:szCs w:val="24"/>
          <w:lang w:eastAsia="ru-RU"/>
        </w:rPr>
        <w:instrText>":"","</w:instrText>
      </w:r>
      <w:r w:rsidR="00315D6A">
        <w:rPr>
          <w:rFonts w:eastAsia="Times New Roman"/>
          <w:b/>
          <w:szCs w:val="24"/>
          <w:lang w:val="en-US" w:eastAsia="ru-RU"/>
        </w:rPr>
        <w:instrText>family</w:instrText>
      </w:r>
      <w:r w:rsidR="00315D6A" w:rsidRPr="00D62DF3">
        <w:rPr>
          <w:rFonts w:eastAsia="Times New Roman"/>
          <w:b/>
          <w:szCs w:val="24"/>
          <w:lang w:eastAsia="ru-RU"/>
        </w:rPr>
        <w:instrText>":"</w:instrText>
      </w:r>
      <w:r w:rsidR="00315D6A">
        <w:rPr>
          <w:rFonts w:eastAsia="Times New Roman"/>
          <w:b/>
          <w:szCs w:val="24"/>
          <w:lang w:val="en-US" w:eastAsia="ru-RU"/>
        </w:rPr>
        <w:instrText>Kourelis</w:instrText>
      </w:r>
      <w:r w:rsidR="00315D6A" w:rsidRPr="00D62DF3">
        <w:rPr>
          <w:rFonts w:eastAsia="Times New Roman"/>
          <w:b/>
          <w:szCs w:val="24"/>
          <w:lang w:eastAsia="ru-RU"/>
        </w:rPr>
        <w:instrText>","</w:instrText>
      </w:r>
      <w:r w:rsidR="00315D6A">
        <w:rPr>
          <w:rFonts w:eastAsia="Times New Roman"/>
          <w:b/>
          <w:szCs w:val="24"/>
          <w:lang w:val="en-US" w:eastAsia="ru-RU"/>
        </w:rPr>
        <w:instrText>given</w:instrText>
      </w:r>
      <w:r w:rsidR="00315D6A" w:rsidRPr="00D62DF3">
        <w:rPr>
          <w:rFonts w:eastAsia="Times New Roman"/>
          <w:b/>
          <w:szCs w:val="24"/>
          <w:lang w:eastAsia="ru-RU"/>
        </w:rPr>
        <w:instrText>":"</w:instrText>
      </w:r>
      <w:r w:rsidR="00315D6A">
        <w:rPr>
          <w:rFonts w:eastAsia="Times New Roman"/>
          <w:b/>
          <w:szCs w:val="24"/>
          <w:lang w:val="en-US" w:eastAsia="ru-RU"/>
        </w:rPr>
        <w:instrText>Taxiarchis</w:instrText>
      </w:r>
      <w:r w:rsidR="00315D6A" w:rsidRPr="00D62DF3">
        <w:rPr>
          <w:rFonts w:eastAsia="Times New Roman"/>
          <w:b/>
          <w:szCs w:val="24"/>
          <w:lang w:eastAsia="ru-RU"/>
        </w:rPr>
        <w:instrText>","</w:instrText>
      </w:r>
      <w:r w:rsidR="00315D6A">
        <w:rPr>
          <w:rFonts w:eastAsia="Times New Roman"/>
          <w:b/>
          <w:szCs w:val="24"/>
          <w:lang w:val="en-US" w:eastAsia="ru-RU"/>
        </w:rPr>
        <w:instrText>non</w:instrText>
      </w:r>
      <w:r w:rsidR="00315D6A" w:rsidRPr="00D62DF3">
        <w:rPr>
          <w:rFonts w:eastAsia="Times New Roman"/>
          <w:b/>
          <w:szCs w:val="24"/>
          <w:lang w:eastAsia="ru-RU"/>
        </w:rPr>
        <w:instrText>-</w:instrText>
      </w:r>
      <w:r w:rsidR="00315D6A">
        <w:rPr>
          <w:rFonts w:eastAsia="Times New Roman"/>
          <w:b/>
          <w:szCs w:val="24"/>
          <w:lang w:val="en-US" w:eastAsia="ru-RU"/>
        </w:rPr>
        <w:instrText>dropping</w:instrText>
      </w:r>
      <w:r w:rsidR="00315D6A" w:rsidRPr="00D62DF3">
        <w:rPr>
          <w:rFonts w:eastAsia="Times New Roman"/>
          <w:b/>
          <w:szCs w:val="24"/>
          <w:lang w:eastAsia="ru-RU"/>
        </w:rPr>
        <w:instrText>-</w:instrText>
      </w:r>
      <w:r w:rsidR="00315D6A">
        <w:rPr>
          <w:rFonts w:eastAsia="Times New Roman"/>
          <w:b/>
          <w:szCs w:val="24"/>
          <w:lang w:val="en-US" w:eastAsia="ru-RU"/>
        </w:rPr>
        <w:instrText>particle</w:instrText>
      </w:r>
      <w:r w:rsidR="00315D6A" w:rsidRPr="00D62DF3">
        <w:rPr>
          <w:rFonts w:eastAsia="Times New Roman"/>
          <w:b/>
          <w:szCs w:val="24"/>
          <w:lang w:eastAsia="ru-RU"/>
        </w:rPr>
        <w:instrText>":"","</w:instrText>
      </w:r>
      <w:r w:rsidR="00315D6A">
        <w:rPr>
          <w:rFonts w:eastAsia="Times New Roman"/>
          <w:b/>
          <w:szCs w:val="24"/>
          <w:lang w:val="en-US" w:eastAsia="ru-RU"/>
        </w:rPr>
        <w:instrText>parse</w:instrText>
      </w:r>
      <w:r w:rsidR="00315D6A" w:rsidRPr="00D62DF3">
        <w:rPr>
          <w:rFonts w:eastAsia="Times New Roman"/>
          <w:b/>
          <w:szCs w:val="24"/>
          <w:lang w:eastAsia="ru-RU"/>
        </w:rPr>
        <w:instrText>-</w:instrText>
      </w:r>
      <w:r w:rsidR="00315D6A">
        <w:rPr>
          <w:rFonts w:eastAsia="Times New Roman"/>
          <w:b/>
          <w:szCs w:val="24"/>
          <w:lang w:val="en-US" w:eastAsia="ru-RU"/>
        </w:rPr>
        <w:instrText>names</w:instrText>
      </w:r>
      <w:r w:rsidR="00315D6A" w:rsidRPr="00D62DF3">
        <w:rPr>
          <w:rFonts w:eastAsia="Times New Roman"/>
          <w:b/>
          <w:szCs w:val="24"/>
          <w:lang w:eastAsia="ru-RU"/>
        </w:rPr>
        <w:instrText>":</w:instrText>
      </w:r>
      <w:r w:rsidR="00315D6A">
        <w:rPr>
          <w:rFonts w:eastAsia="Times New Roman"/>
          <w:b/>
          <w:szCs w:val="24"/>
          <w:lang w:val="en-US" w:eastAsia="ru-RU"/>
        </w:rPr>
        <w:instrText>false</w:instrText>
      </w:r>
      <w:r w:rsidR="00315D6A" w:rsidRPr="00D62DF3">
        <w:rPr>
          <w:rFonts w:eastAsia="Times New Roman"/>
          <w:b/>
          <w:szCs w:val="24"/>
          <w:lang w:eastAsia="ru-RU"/>
        </w:rPr>
        <w:instrText>,"</w:instrText>
      </w:r>
      <w:r w:rsidR="00315D6A">
        <w:rPr>
          <w:rFonts w:eastAsia="Times New Roman"/>
          <w:b/>
          <w:szCs w:val="24"/>
          <w:lang w:val="en-US" w:eastAsia="ru-RU"/>
        </w:rPr>
        <w:instrText>suffix</w:instrText>
      </w:r>
      <w:r w:rsidR="00315D6A" w:rsidRPr="00D62DF3">
        <w:rPr>
          <w:rFonts w:eastAsia="Times New Roman"/>
          <w:b/>
          <w:szCs w:val="24"/>
          <w:lang w:eastAsia="ru-RU"/>
        </w:rPr>
        <w:instrText>":""},{"</w:instrText>
      </w:r>
      <w:r w:rsidR="00315D6A">
        <w:rPr>
          <w:rFonts w:eastAsia="Times New Roman"/>
          <w:b/>
          <w:szCs w:val="24"/>
          <w:lang w:val="en-US" w:eastAsia="ru-RU"/>
        </w:rPr>
        <w:instrText>dropping</w:instrText>
      </w:r>
      <w:r w:rsidR="00315D6A" w:rsidRPr="00D62DF3">
        <w:rPr>
          <w:rFonts w:eastAsia="Times New Roman"/>
          <w:b/>
          <w:szCs w:val="24"/>
          <w:lang w:eastAsia="ru-RU"/>
        </w:rPr>
        <w:instrText>-</w:instrText>
      </w:r>
      <w:r w:rsidR="00315D6A">
        <w:rPr>
          <w:rFonts w:eastAsia="Times New Roman"/>
          <w:b/>
          <w:szCs w:val="24"/>
          <w:lang w:val="en-US" w:eastAsia="ru-RU"/>
        </w:rPr>
        <w:instrText>particle</w:instrText>
      </w:r>
      <w:r w:rsidR="00315D6A" w:rsidRPr="00D62DF3">
        <w:rPr>
          <w:rFonts w:eastAsia="Times New Roman"/>
          <w:b/>
          <w:szCs w:val="24"/>
          <w:lang w:eastAsia="ru-RU"/>
        </w:rPr>
        <w:instrText>":"","</w:instrText>
      </w:r>
      <w:r w:rsidR="00315D6A">
        <w:rPr>
          <w:rFonts w:eastAsia="Times New Roman"/>
          <w:b/>
          <w:szCs w:val="24"/>
          <w:lang w:val="en-US" w:eastAsia="ru-RU"/>
        </w:rPr>
        <w:instrText>family</w:instrText>
      </w:r>
      <w:r w:rsidR="00315D6A" w:rsidRPr="00D62DF3">
        <w:rPr>
          <w:rFonts w:eastAsia="Times New Roman"/>
          <w:b/>
          <w:szCs w:val="24"/>
          <w:lang w:eastAsia="ru-RU"/>
        </w:rPr>
        <w:instrText>":"</w:instrText>
      </w:r>
      <w:r w:rsidR="00315D6A">
        <w:rPr>
          <w:rFonts w:eastAsia="Times New Roman"/>
          <w:b/>
          <w:szCs w:val="24"/>
          <w:lang w:val="en-US" w:eastAsia="ru-RU"/>
        </w:rPr>
        <w:instrText>Warsame</w:instrText>
      </w:r>
      <w:r w:rsidR="00315D6A" w:rsidRPr="00D62DF3">
        <w:rPr>
          <w:rFonts w:eastAsia="Times New Roman"/>
          <w:b/>
          <w:szCs w:val="24"/>
          <w:lang w:eastAsia="ru-RU"/>
        </w:rPr>
        <w:instrText>","</w:instrText>
      </w:r>
      <w:r w:rsidR="00315D6A">
        <w:rPr>
          <w:rFonts w:eastAsia="Times New Roman"/>
          <w:b/>
          <w:szCs w:val="24"/>
          <w:lang w:val="en-US" w:eastAsia="ru-RU"/>
        </w:rPr>
        <w:instrText>given</w:instrText>
      </w:r>
      <w:r w:rsidR="00315D6A" w:rsidRPr="00D62DF3">
        <w:rPr>
          <w:rFonts w:eastAsia="Times New Roman"/>
          <w:b/>
          <w:szCs w:val="24"/>
          <w:lang w:eastAsia="ru-RU"/>
        </w:rPr>
        <w:instrText>":"</w:instrText>
      </w:r>
      <w:r w:rsidR="00315D6A">
        <w:rPr>
          <w:rFonts w:eastAsia="Times New Roman"/>
          <w:b/>
          <w:szCs w:val="24"/>
          <w:lang w:val="en-US" w:eastAsia="ru-RU"/>
        </w:rPr>
        <w:instrText>Rahma</w:instrText>
      </w:r>
      <w:r w:rsidR="00315D6A" w:rsidRPr="00D62DF3">
        <w:rPr>
          <w:rFonts w:eastAsia="Times New Roman"/>
          <w:b/>
          <w:szCs w:val="24"/>
          <w:lang w:eastAsia="ru-RU"/>
        </w:rPr>
        <w:instrText>","</w:instrText>
      </w:r>
      <w:r w:rsidR="00315D6A">
        <w:rPr>
          <w:rFonts w:eastAsia="Times New Roman"/>
          <w:b/>
          <w:szCs w:val="24"/>
          <w:lang w:val="en-US" w:eastAsia="ru-RU"/>
        </w:rPr>
        <w:instrText>non</w:instrText>
      </w:r>
      <w:r w:rsidR="00315D6A" w:rsidRPr="00D62DF3">
        <w:rPr>
          <w:rFonts w:eastAsia="Times New Roman"/>
          <w:b/>
          <w:szCs w:val="24"/>
          <w:lang w:eastAsia="ru-RU"/>
        </w:rPr>
        <w:instrText>-</w:instrText>
      </w:r>
      <w:r w:rsidR="00315D6A">
        <w:rPr>
          <w:rFonts w:eastAsia="Times New Roman"/>
          <w:b/>
          <w:szCs w:val="24"/>
          <w:lang w:val="en-US" w:eastAsia="ru-RU"/>
        </w:rPr>
        <w:instrText>dropping</w:instrText>
      </w:r>
      <w:r w:rsidR="00315D6A" w:rsidRPr="00D62DF3">
        <w:rPr>
          <w:rFonts w:eastAsia="Times New Roman"/>
          <w:b/>
          <w:szCs w:val="24"/>
          <w:lang w:eastAsia="ru-RU"/>
        </w:rPr>
        <w:instrText>-</w:instrText>
      </w:r>
      <w:r w:rsidR="00315D6A">
        <w:rPr>
          <w:rFonts w:eastAsia="Times New Roman"/>
          <w:b/>
          <w:szCs w:val="24"/>
          <w:lang w:val="en-US" w:eastAsia="ru-RU"/>
        </w:rPr>
        <w:instrText>particle</w:instrText>
      </w:r>
      <w:r w:rsidR="00315D6A" w:rsidRPr="00D62DF3">
        <w:rPr>
          <w:rFonts w:eastAsia="Times New Roman"/>
          <w:b/>
          <w:szCs w:val="24"/>
          <w:lang w:eastAsia="ru-RU"/>
        </w:rPr>
        <w:instrText>":"","</w:instrText>
      </w:r>
      <w:r w:rsidR="00315D6A">
        <w:rPr>
          <w:rFonts w:eastAsia="Times New Roman"/>
          <w:b/>
          <w:szCs w:val="24"/>
          <w:lang w:val="en-US" w:eastAsia="ru-RU"/>
        </w:rPr>
        <w:instrText>parse</w:instrText>
      </w:r>
      <w:r w:rsidR="00315D6A" w:rsidRPr="00D62DF3">
        <w:rPr>
          <w:rFonts w:eastAsia="Times New Roman"/>
          <w:b/>
          <w:szCs w:val="24"/>
          <w:lang w:eastAsia="ru-RU"/>
        </w:rPr>
        <w:instrText>-</w:instrText>
      </w:r>
      <w:r w:rsidR="00315D6A">
        <w:rPr>
          <w:rFonts w:eastAsia="Times New Roman"/>
          <w:b/>
          <w:szCs w:val="24"/>
          <w:lang w:val="en-US" w:eastAsia="ru-RU"/>
        </w:rPr>
        <w:instrText>names</w:instrText>
      </w:r>
      <w:r w:rsidR="00315D6A" w:rsidRPr="00D62DF3">
        <w:rPr>
          <w:rFonts w:eastAsia="Times New Roman"/>
          <w:b/>
          <w:szCs w:val="24"/>
          <w:lang w:eastAsia="ru-RU"/>
        </w:rPr>
        <w:instrText>":</w:instrText>
      </w:r>
      <w:r w:rsidR="00315D6A">
        <w:rPr>
          <w:rFonts w:eastAsia="Times New Roman"/>
          <w:b/>
          <w:szCs w:val="24"/>
          <w:lang w:val="en-US" w:eastAsia="ru-RU"/>
        </w:rPr>
        <w:instrText>false</w:instrText>
      </w:r>
      <w:r w:rsidR="00315D6A" w:rsidRPr="00D62DF3">
        <w:rPr>
          <w:rFonts w:eastAsia="Times New Roman"/>
          <w:b/>
          <w:szCs w:val="24"/>
          <w:lang w:eastAsia="ru-RU"/>
        </w:rPr>
        <w:instrText>,"</w:instrText>
      </w:r>
      <w:r w:rsidR="00315D6A">
        <w:rPr>
          <w:rFonts w:eastAsia="Times New Roman"/>
          <w:b/>
          <w:szCs w:val="24"/>
          <w:lang w:val="en-US" w:eastAsia="ru-RU"/>
        </w:rPr>
        <w:instrText>suffix</w:instrText>
      </w:r>
      <w:r w:rsidR="00315D6A" w:rsidRPr="00D62DF3">
        <w:rPr>
          <w:rFonts w:eastAsia="Times New Roman"/>
          <w:b/>
          <w:szCs w:val="24"/>
          <w:lang w:eastAsia="ru-RU"/>
        </w:rPr>
        <w:instrText>":""},{"</w:instrText>
      </w:r>
      <w:r w:rsidR="00315D6A">
        <w:rPr>
          <w:rFonts w:eastAsia="Times New Roman"/>
          <w:b/>
          <w:szCs w:val="24"/>
          <w:lang w:val="en-US" w:eastAsia="ru-RU"/>
        </w:rPr>
        <w:instrText>dropping</w:instrText>
      </w:r>
      <w:r w:rsidR="00315D6A" w:rsidRPr="00D62DF3">
        <w:rPr>
          <w:rFonts w:eastAsia="Times New Roman"/>
          <w:b/>
          <w:szCs w:val="24"/>
          <w:lang w:eastAsia="ru-RU"/>
        </w:rPr>
        <w:instrText>-</w:instrText>
      </w:r>
      <w:r w:rsidR="00315D6A">
        <w:rPr>
          <w:rFonts w:eastAsia="Times New Roman"/>
          <w:b/>
          <w:szCs w:val="24"/>
          <w:lang w:val="en-US" w:eastAsia="ru-RU"/>
        </w:rPr>
        <w:instrText>particle</w:instrText>
      </w:r>
      <w:r w:rsidR="00315D6A" w:rsidRPr="00D62DF3">
        <w:rPr>
          <w:rFonts w:eastAsia="Times New Roman"/>
          <w:b/>
          <w:szCs w:val="24"/>
          <w:lang w:eastAsia="ru-RU"/>
        </w:rPr>
        <w:instrText>":"","</w:instrText>
      </w:r>
      <w:r w:rsidR="00315D6A">
        <w:rPr>
          <w:rFonts w:eastAsia="Times New Roman"/>
          <w:b/>
          <w:szCs w:val="24"/>
          <w:lang w:val="en-US" w:eastAsia="ru-RU"/>
        </w:rPr>
        <w:instrText>family</w:instrText>
      </w:r>
      <w:r w:rsidR="00315D6A" w:rsidRPr="00D62DF3">
        <w:rPr>
          <w:rFonts w:eastAsia="Times New Roman"/>
          <w:b/>
          <w:szCs w:val="24"/>
          <w:lang w:eastAsia="ru-RU"/>
        </w:rPr>
        <w:instrText>":"</w:instrText>
      </w:r>
      <w:r w:rsidR="00315D6A">
        <w:rPr>
          <w:rFonts w:eastAsia="Times New Roman"/>
          <w:b/>
          <w:szCs w:val="24"/>
          <w:lang w:val="en-US" w:eastAsia="ru-RU"/>
        </w:rPr>
        <w:instrText>Kyle</w:instrText>
      </w:r>
      <w:r w:rsidR="00315D6A" w:rsidRPr="00D62DF3">
        <w:rPr>
          <w:rFonts w:eastAsia="Times New Roman"/>
          <w:b/>
          <w:szCs w:val="24"/>
          <w:lang w:eastAsia="ru-RU"/>
        </w:rPr>
        <w:instrText>","</w:instrText>
      </w:r>
      <w:r w:rsidR="00315D6A">
        <w:rPr>
          <w:rFonts w:eastAsia="Times New Roman"/>
          <w:b/>
          <w:szCs w:val="24"/>
          <w:lang w:val="en-US" w:eastAsia="ru-RU"/>
        </w:rPr>
        <w:instrText>given</w:instrText>
      </w:r>
      <w:r w:rsidR="00315D6A" w:rsidRPr="00D62DF3">
        <w:rPr>
          <w:rFonts w:eastAsia="Times New Roman"/>
          <w:b/>
          <w:szCs w:val="24"/>
          <w:lang w:eastAsia="ru-RU"/>
        </w:rPr>
        <w:instrText>":"</w:instrText>
      </w:r>
      <w:r w:rsidR="00315D6A">
        <w:rPr>
          <w:rFonts w:eastAsia="Times New Roman"/>
          <w:b/>
          <w:szCs w:val="24"/>
          <w:lang w:val="en-US" w:eastAsia="ru-RU"/>
        </w:rPr>
        <w:instrText>Robert</w:instrText>
      </w:r>
      <w:r w:rsidR="00315D6A" w:rsidRPr="00D62DF3">
        <w:rPr>
          <w:rFonts w:eastAsia="Times New Roman"/>
          <w:b/>
          <w:szCs w:val="24"/>
          <w:lang w:eastAsia="ru-RU"/>
        </w:rPr>
        <w:instrText xml:space="preserve"> </w:instrText>
      </w:r>
      <w:r w:rsidR="00315D6A">
        <w:rPr>
          <w:rFonts w:eastAsia="Times New Roman"/>
          <w:b/>
          <w:szCs w:val="24"/>
          <w:lang w:val="en-US" w:eastAsia="ru-RU"/>
        </w:rPr>
        <w:instrText>A</w:instrText>
      </w:r>
      <w:r w:rsidR="00315D6A" w:rsidRPr="00D62DF3">
        <w:rPr>
          <w:rFonts w:eastAsia="Times New Roman"/>
          <w:b/>
          <w:szCs w:val="24"/>
          <w:lang w:eastAsia="ru-RU"/>
        </w:rPr>
        <w:instrText>.","</w:instrText>
      </w:r>
      <w:r w:rsidR="00315D6A">
        <w:rPr>
          <w:rFonts w:eastAsia="Times New Roman"/>
          <w:b/>
          <w:szCs w:val="24"/>
          <w:lang w:val="en-US" w:eastAsia="ru-RU"/>
        </w:rPr>
        <w:instrText>non</w:instrText>
      </w:r>
      <w:r w:rsidR="00315D6A" w:rsidRPr="00D62DF3">
        <w:rPr>
          <w:rFonts w:eastAsia="Times New Roman"/>
          <w:b/>
          <w:szCs w:val="24"/>
          <w:lang w:eastAsia="ru-RU"/>
        </w:rPr>
        <w:instrText>-</w:instrText>
      </w:r>
      <w:r w:rsidR="00315D6A">
        <w:rPr>
          <w:rFonts w:eastAsia="Times New Roman"/>
          <w:b/>
          <w:szCs w:val="24"/>
          <w:lang w:val="en-US" w:eastAsia="ru-RU"/>
        </w:rPr>
        <w:instrText>dropping</w:instrText>
      </w:r>
      <w:r w:rsidR="00315D6A" w:rsidRPr="00D62DF3">
        <w:rPr>
          <w:rFonts w:eastAsia="Times New Roman"/>
          <w:b/>
          <w:szCs w:val="24"/>
          <w:lang w:eastAsia="ru-RU"/>
        </w:rPr>
        <w:instrText>-</w:instrText>
      </w:r>
      <w:r w:rsidR="00315D6A">
        <w:rPr>
          <w:rFonts w:eastAsia="Times New Roman"/>
          <w:b/>
          <w:szCs w:val="24"/>
          <w:lang w:val="en-US" w:eastAsia="ru-RU"/>
        </w:rPr>
        <w:instrText>particle</w:instrText>
      </w:r>
      <w:r w:rsidR="00315D6A" w:rsidRPr="00D62DF3">
        <w:rPr>
          <w:rFonts w:eastAsia="Times New Roman"/>
          <w:b/>
          <w:szCs w:val="24"/>
          <w:lang w:eastAsia="ru-RU"/>
        </w:rPr>
        <w:instrText>":"","</w:instrText>
      </w:r>
      <w:r w:rsidR="00315D6A">
        <w:rPr>
          <w:rFonts w:eastAsia="Times New Roman"/>
          <w:b/>
          <w:szCs w:val="24"/>
          <w:lang w:val="en-US" w:eastAsia="ru-RU"/>
        </w:rPr>
        <w:instrText>parse</w:instrText>
      </w:r>
      <w:r w:rsidR="00315D6A" w:rsidRPr="00D62DF3">
        <w:rPr>
          <w:rFonts w:eastAsia="Times New Roman"/>
          <w:b/>
          <w:szCs w:val="24"/>
          <w:lang w:eastAsia="ru-RU"/>
        </w:rPr>
        <w:instrText>-</w:instrText>
      </w:r>
      <w:r w:rsidR="00315D6A">
        <w:rPr>
          <w:rFonts w:eastAsia="Times New Roman"/>
          <w:b/>
          <w:szCs w:val="24"/>
          <w:lang w:val="en-US" w:eastAsia="ru-RU"/>
        </w:rPr>
        <w:instrText>names</w:instrText>
      </w:r>
      <w:r w:rsidR="00315D6A" w:rsidRPr="00D62DF3">
        <w:rPr>
          <w:rFonts w:eastAsia="Times New Roman"/>
          <w:b/>
          <w:szCs w:val="24"/>
          <w:lang w:eastAsia="ru-RU"/>
        </w:rPr>
        <w:instrText>":</w:instrText>
      </w:r>
      <w:r w:rsidR="00315D6A">
        <w:rPr>
          <w:rFonts w:eastAsia="Times New Roman"/>
          <w:b/>
          <w:szCs w:val="24"/>
          <w:lang w:val="en-US" w:eastAsia="ru-RU"/>
        </w:rPr>
        <w:instrText>false</w:instrText>
      </w:r>
      <w:r w:rsidR="00315D6A" w:rsidRPr="00D62DF3">
        <w:rPr>
          <w:rFonts w:eastAsia="Times New Roman"/>
          <w:b/>
          <w:szCs w:val="24"/>
          <w:lang w:eastAsia="ru-RU"/>
        </w:rPr>
        <w:instrText>,"</w:instrText>
      </w:r>
      <w:r w:rsidR="00315D6A">
        <w:rPr>
          <w:rFonts w:eastAsia="Times New Roman"/>
          <w:b/>
          <w:szCs w:val="24"/>
          <w:lang w:val="en-US" w:eastAsia="ru-RU"/>
        </w:rPr>
        <w:instrText>suffix</w:instrText>
      </w:r>
      <w:r w:rsidR="00315D6A" w:rsidRPr="00D62DF3">
        <w:rPr>
          <w:rFonts w:eastAsia="Times New Roman"/>
          <w:b/>
          <w:szCs w:val="24"/>
          <w:lang w:eastAsia="ru-RU"/>
        </w:rPr>
        <w:instrText>":""},{"</w:instrText>
      </w:r>
      <w:r w:rsidR="00315D6A">
        <w:rPr>
          <w:rFonts w:eastAsia="Times New Roman"/>
          <w:b/>
          <w:szCs w:val="24"/>
          <w:lang w:val="en-US" w:eastAsia="ru-RU"/>
        </w:rPr>
        <w:instrText>dropping</w:instrText>
      </w:r>
      <w:r w:rsidR="00315D6A" w:rsidRPr="00D62DF3">
        <w:rPr>
          <w:rFonts w:eastAsia="Times New Roman"/>
          <w:b/>
          <w:szCs w:val="24"/>
          <w:lang w:eastAsia="ru-RU"/>
        </w:rPr>
        <w:instrText>-</w:instrText>
      </w:r>
      <w:r w:rsidR="00315D6A">
        <w:rPr>
          <w:rFonts w:eastAsia="Times New Roman"/>
          <w:b/>
          <w:szCs w:val="24"/>
          <w:lang w:val="en-US" w:eastAsia="ru-RU"/>
        </w:rPr>
        <w:instrText>particle</w:instrText>
      </w:r>
      <w:r w:rsidR="00315D6A" w:rsidRPr="00D62DF3">
        <w:rPr>
          <w:rFonts w:eastAsia="Times New Roman"/>
          <w:b/>
          <w:szCs w:val="24"/>
          <w:lang w:eastAsia="ru-RU"/>
        </w:rPr>
        <w:instrText>":"","</w:instrText>
      </w:r>
      <w:r w:rsidR="00315D6A">
        <w:rPr>
          <w:rFonts w:eastAsia="Times New Roman"/>
          <w:b/>
          <w:szCs w:val="24"/>
          <w:lang w:val="en-US" w:eastAsia="ru-RU"/>
        </w:rPr>
        <w:instrText>family</w:instrText>
      </w:r>
      <w:r w:rsidR="00315D6A" w:rsidRPr="00D62DF3">
        <w:rPr>
          <w:rFonts w:eastAsia="Times New Roman"/>
          <w:b/>
          <w:szCs w:val="24"/>
          <w:lang w:eastAsia="ru-RU"/>
        </w:rPr>
        <w:instrText>":"</w:instrText>
      </w:r>
      <w:r w:rsidR="00315D6A">
        <w:rPr>
          <w:rFonts w:eastAsia="Times New Roman"/>
          <w:b/>
          <w:szCs w:val="24"/>
          <w:lang w:val="en-US" w:eastAsia="ru-RU"/>
        </w:rPr>
        <w:instrText>Kumar</w:instrText>
      </w:r>
      <w:r w:rsidR="00315D6A" w:rsidRPr="00D62DF3">
        <w:rPr>
          <w:rFonts w:eastAsia="Times New Roman"/>
          <w:b/>
          <w:szCs w:val="24"/>
          <w:lang w:eastAsia="ru-RU"/>
        </w:rPr>
        <w:instrText>","</w:instrText>
      </w:r>
      <w:r w:rsidR="00315D6A">
        <w:rPr>
          <w:rFonts w:eastAsia="Times New Roman"/>
          <w:b/>
          <w:szCs w:val="24"/>
          <w:lang w:val="en-US" w:eastAsia="ru-RU"/>
        </w:rPr>
        <w:instrText>given</w:instrText>
      </w:r>
      <w:r w:rsidR="00315D6A" w:rsidRPr="00D62DF3">
        <w:rPr>
          <w:rFonts w:eastAsia="Times New Roman"/>
          <w:b/>
          <w:szCs w:val="24"/>
          <w:lang w:eastAsia="ru-RU"/>
        </w:rPr>
        <w:instrText>":"</w:instrText>
      </w:r>
      <w:r w:rsidR="00315D6A">
        <w:rPr>
          <w:rFonts w:eastAsia="Times New Roman"/>
          <w:b/>
          <w:szCs w:val="24"/>
          <w:lang w:val="en-US" w:eastAsia="ru-RU"/>
        </w:rPr>
        <w:instrText>Shaji</w:instrText>
      </w:r>
      <w:r w:rsidR="00315D6A" w:rsidRPr="00D62DF3">
        <w:rPr>
          <w:rFonts w:eastAsia="Times New Roman"/>
          <w:b/>
          <w:szCs w:val="24"/>
          <w:lang w:eastAsia="ru-RU"/>
        </w:rPr>
        <w:instrText xml:space="preserve"> </w:instrText>
      </w:r>
      <w:r w:rsidR="00315D6A">
        <w:rPr>
          <w:rFonts w:eastAsia="Times New Roman"/>
          <w:b/>
          <w:szCs w:val="24"/>
          <w:lang w:val="en-US" w:eastAsia="ru-RU"/>
        </w:rPr>
        <w:instrText>K</w:instrText>
      </w:r>
      <w:r w:rsidR="00315D6A" w:rsidRPr="00D62DF3">
        <w:rPr>
          <w:rFonts w:eastAsia="Times New Roman"/>
          <w:b/>
          <w:szCs w:val="24"/>
          <w:lang w:eastAsia="ru-RU"/>
        </w:rPr>
        <w:instrText>.","</w:instrText>
      </w:r>
      <w:r w:rsidR="00315D6A">
        <w:rPr>
          <w:rFonts w:eastAsia="Times New Roman"/>
          <w:b/>
          <w:szCs w:val="24"/>
          <w:lang w:val="en-US" w:eastAsia="ru-RU"/>
        </w:rPr>
        <w:instrText>non</w:instrText>
      </w:r>
      <w:r w:rsidR="00315D6A" w:rsidRPr="00D62DF3">
        <w:rPr>
          <w:rFonts w:eastAsia="Times New Roman"/>
          <w:b/>
          <w:szCs w:val="24"/>
          <w:lang w:eastAsia="ru-RU"/>
        </w:rPr>
        <w:instrText>-</w:instrText>
      </w:r>
      <w:r w:rsidR="00315D6A">
        <w:rPr>
          <w:rFonts w:eastAsia="Times New Roman"/>
          <w:b/>
          <w:szCs w:val="24"/>
          <w:lang w:val="en-US" w:eastAsia="ru-RU"/>
        </w:rPr>
        <w:instrText>dropping</w:instrText>
      </w:r>
      <w:r w:rsidR="00315D6A" w:rsidRPr="00D62DF3">
        <w:rPr>
          <w:rFonts w:eastAsia="Times New Roman"/>
          <w:b/>
          <w:szCs w:val="24"/>
          <w:lang w:eastAsia="ru-RU"/>
        </w:rPr>
        <w:instrText>-</w:instrText>
      </w:r>
      <w:r w:rsidR="00315D6A">
        <w:rPr>
          <w:rFonts w:eastAsia="Times New Roman"/>
          <w:b/>
          <w:szCs w:val="24"/>
          <w:lang w:val="en-US" w:eastAsia="ru-RU"/>
        </w:rPr>
        <w:instrText>particle</w:instrText>
      </w:r>
      <w:r w:rsidR="00315D6A" w:rsidRPr="00D62DF3">
        <w:rPr>
          <w:rFonts w:eastAsia="Times New Roman"/>
          <w:b/>
          <w:szCs w:val="24"/>
          <w:lang w:eastAsia="ru-RU"/>
        </w:rPr>
        <w:instrText>":"","</w:instrText>
      </w:r>
      <w:r w:rsidR="00315D6A">
        <w:rPr>
          <w:rFonts w:eastAsia="Times New Roman"/>
          <w:b/>
          <w:szCs w:val="24"/>
          <w:lang w:val="en-US" w:eastAsia="ru-RU"/>
        </w:rPr>
        <w:instrText>parse</w:instrText>
      </w:r>
      <w:r w:rsidR="00315D6A" w:rsidRPr="00D62DF3">
        <w:rPr>
          <w:rFonts w:eastAsia="Times New Roman"/>
          <w:b/>
          <w:szCs w:val="24"/>
          <w:lang w:eastAsia="ru-RU"/>
        </w:rPr>
        <w:instrText>-</w:instrText>
      </w:r>
      <w:r w:rsidR="00315D6A">
        <w:rPr>
          <w:rFonts w:eastAsia="Times New Roman"/>
          <w:b/>
          <w:szCs w:val="24"/>
          <w:lang w:val="en-US" w:eastAsia="ru-RU"/>
        </w:rPr>
        <w:instrText>names</w:instrText>
      </w:r>
      <w:r w:rsidR="00315D6A" w:rsidRPr="00D62DF3">
        <w:rPr>
          <w:rFonts w:eastAsia="Times New Roman"/>
          <w:b/>
          <w:szCs w:val="24"/>
          <w:lang w:eastAsia="ru-RU"/>
        </w:rPr>
        <w:instrText>":</w:instrText>
      </w:r>
      <w:r w:rsidR="00315D6A">
        <w:rPr>
          <w:rFonts w:eastAsia="Times New Roman"/>
          <w:b/>
          <w:szCs w:val="24"/>
          <w:lang w:val="en-US" w:eastAsia="ru-RU"/>
        </w:rPr>
        <w:instrText>false</w:instrText>
      </w:r>
      <w:r w:rsidR="00315D6A" w:rsidRPr="00D62DF3">
        <w:rPr>
          <w:rFonts w:eastAsia="Times New Roman"/>
          <w:b/>
          <w:szCs w:val="24"/>
          <w:lang w:eastAsia="ru-RU"/>
        </w:rPr>
        <w:instrText>,"</w:instrText>
      </w:r>
      <w:r w:rsidR="00315D6A">
        <w:rPr>
          <w:rFonts w:eastAsia="Times New Roman"/>
          <w:b/>
          <w:szCs w:val="24"/>
          <w:lang w:val="en-US" w:eastAsia="ru-RU"/>
        </w:rPr>
        <w:instrText>suffix</w:instrText>
      </w:r>
      <w:r w:rsidR="00315D6A" w:rsidRPr="00D62DF3">
        <w:rPr>
          <w:rFonts w:eastAsia="Times New Roman"/>
          <w:b/>
          <w:szCs w:val="24"/>
          <w:lang w:eastAsia="ru-RU"/>
        </w:rPr>
        <w:instrText>":""}],"</w:instrText>
      </w:r>
      <w:r w:rsidR="00315D6A">
        <w:rPr>
          <w:rFonts w:eastAsia="Times New Roman"/>
          <w:b/>
          <w:szCs w:val="24"/>
          <w:lang w:val="en-US" w:eastAsia="ru-RU"/>
        </w:rPr>
        <w:instrText>container</w:instrText>
      </w:r>
      <w:r w:rsidR="00315D6A" w:rsidRPr="00D62DF3">
        <w:rPr>
          <w:rFonts w:eastAsia="Times New Roman"/>
          <w:b/>
          <w:szCs w:val="24"/>
          <w:lang w:eastAsia="ru-RU"/>
        </w:rPr>
        <w:instrText>-</w:instrText>
      </w:r>
      <w:r w:rsidR="00315D6A">
        <w:rPr>
          <w:rFonts w:eastAsia="Times New Roman"/>
          <w:b/>
          <w:szCs w:val="24"/>
          <w:lang w:val="en-US" w:eastAsia="ru-RU"/>
        </w:rPr>
        <w:instrText>title</w:instrText>
      </w:r>
      <w:r w:rsidR="00315D6A" w:rsidRPr="00D62DF3">
        <w:rPr>
          <w:rFonts w:eastAsia="Times New Roman"/>
          <w:b/>
          <w:szCs w:val="24"/>
          <w:lang w:eastAsia="ru-RU"/>
        </w:rPr>
        <w:instrText>":"</w:instrText>
      </w:r>
      <w:r w:rsidR="00315D6A">
        <w:rPr>
          <w:rFonts w:eastAsia="Times New Roman"/>
          <w:b/>
          <w:szCs w:val="24"/>
          <w:lang w:val="en-US" w:eastAsia="ru-RU"/>
        </w:rPr>
        <w:instrText>American</w:instrText>
      </w:r>
      <w:r w:rsidR="00315D6A" w:rsidRPr="00D62DF3">
        <w:rPr>
          <w:rFonts w:eastAsia="Times New Roman"/>
          <w:b/>
          <w:szCs w:val="24"/>
          <w:lang w:eastAsia="ru-RU"/>
        </w:rPr>
        <w:instrText xml:space="preserve"> </w:instrText>
      </w:r>
      <w:r w:rsidR="00315D6A">
        <w:rPr>
          <w:rFonts w:eastAsia="Times New Roman"/>
          <w:b/>
          <w:szCs w:val="24"/>
          <w:lang w:val="en-US" w:eastAsia="ru-RU"/>
        </w:rPr>
        <w:instrText>Journal</w:instrText>
      </w:r>
      <w:r w:rsidR="00315D6A" w:rsidRPr="00D62DF3">
        <w:rPr>
          <w:rFonts w:eastAsia="Times New Roman"/>
          <w:b/>
          <w:szCs w:val="24"/>
          <w:lang w:eastAsia="ru-RU"/>
        </w:rPr>
        <w:instrText xml:space="preserve"> </w:instrText>
      </w:r>
      <w:r w:rsidR="00315D6A">
        <w:rPr>
          <w:rFonts w:eastAsia="Times New Roman"/>
          <w:b/>
          <w:szCs w:val="24"/>
          <w:lang w:val="en-US" w:eastAsia="ru-RU"/>
        </w:rPr>
        <w:instrText>of</w:instrText>
      </w:r>
      <w:r w:rsidR="00315D6A" w:rsidRPr="00D62DF3">
        <w:rPr>
          <w:rFonts w:eastAsia="Times New Roman"/>
          <w:b/>
          <w:szCs w:val="24"/>
          <w:lang w:eastAsia="ru-RU"/>
        </w:rPr>
        <w:instrText xml:space="preserve"> </w:instrText>
      </w:r>
      <w:r w:rsidR="00315D6A">
        <w:rPr>
          <w:rFonts w:eastAsia="Times New Roman"/>
          <w:b/>
          <w:szCs w:val="24"/>
          <w:lang w:val="en-US" w:eastAsia="ru-RU"/>
        </w:rPr>
        <w:instrText>Hematology</w:instrText>
      </w:r>
      <w:r w:rsidR="00315D6A" w:rsidRPr="00D62DF3">
        <w:rPr>
          <w:rFonts w:eastAsia="Times New Roman"/>
          <w:b/>
          <w:szCs w:val="24"/>
          <w:lang w:eastAsia="ru-RU"/>
        </w:rPr>
        <w:instrText>","</w:instrText>
      </w:r>
      <w:r w:rsidR="00315D6A">
        <w:rPr>
          <w:rFonts w:eastAsia="Times New Roman"/>
          <w:b/>
          <w:szCs w:val="24"/>
          <w:lang w:val="en-US" w:eastAsia="ru-RU"/>
        </w:rPr>
        <w:instrText>id</w:instrText>
      </w:r>
      <w:r w:rsidR="00315D6A" w:rsidRPr="00D62DF3">
        <w:rPr>
          <w:rFonts w:eastAsia="Times New Roman"/>
          <w:b/>
          <w:szCs w:val="24"/>
          <w:lang w:eastAsia="ru-RU"/>
        </w:rPr>
        <w:instrText>":"</w:instrText>
      </w:r>
      <w:r w:rsidR="00315D6A">
        <w:rPr>
          <w:rFonts w:eastAsia="Times New Roman"/>
          <w:b/>
          <w:szCs w:val="24"/>
          <w:lang w:val="en-US" w:eastAsia="ru-RU"/>
        </w:rPr>
        <w:instrText>ITEM</w:instrText>
      </w:r>
      <w:r w:rsidR="00315D6A" w:rsidRPr="00D62DF3">
        <w:rPr>
          <w:rFonts w:eastAsia="Times New Roman"/>
          <w:b/>
          <w:szCs w:val="24"/>
          <w:lang w:eastAsia="ru-RU"/>
        </w:rPr>
        <w:instrText>-1","</w:instrText>
      </w:r>
      <w:r w:rsidR="00315D6A">
        <w:rPr>
          <w:rFonts w:eastAsia="Times New Roman"/>
          <w:b/>
          <w:szCs w:val="24"/>
          <w:lang w:val="en-US" w:eastAsia="ru-RU"/>
        </w:rPr>
        <w:instrText>issue</w:instrText>
      </w:r>
      <w:r w:rsidR="00315D6A" w:rsidRPr="00D62DF3">
        <w:rPr>
          <w:rFonts w:eastAsia="Times New Roman"/>
          <w:b/>
          <w:szCs w:val="24"/>
          <w:lang w:eastAsia="ru-RU"/>
        </w:rPr>
        <w:instrText>":"2","</w:instrText>
      </w:r>
      <w:r w:rsidR="00315D6A">
        <w:rPr>
          <w:rFonts w:eastAsia="Times New Roman"/>
          <w:b/>
          <w:szCs w:val="24"/>
          <w:lang w:val="en-US" w:eastAsia="ru-RU"/>
        </w:rPr>
        <w:instrText>issued</w:instrText>
      </w:r>
      <w:r w:rsidR="00315D6A" w:rsidRPr="00D62DF3">
        <w:rPr>
          <w:rFonts w:eastAsia="Times New Roman"/>
          <w:b/>
          <w:szCs w:val="24"/>
          <w:lang w:eastAsia="ru-RU"/>
        </w:rPr>
        <w:instrText>":{"</w:instrText>
      </w:r>
      <w:r w:rsidR="00315D6A">
        <w:rPr>
          <w:rFonts w:eastAsia="Times New Roman"/>
          <w:b/>
          <w:szCs w:val="24"/>
          <w:lang w:val="en-US" w:eastAsia="ru-RU"/>
        </w:rPr>
        <w:instrText>date</w:instrText>
      </w:r>
      <w:r w:rsidR="00315D6A" w:rsidRPr="00D62DF3">
        <w:rPr>
          <w:rFonts w:eastAsia="Times New Roman"/>
          <w:b/>
          <w:szCs w:val="24"/>
          <w:lang w:eastAsia="ru-RU"/>
        </w:rPr>
        <w:instrText>-</w:instrText>
      </w:r>
      <w:r w:rsidR="00315D6A">
        <w:rPr>
          <w:rFonts w:eastAsia="Times New Roman"/>
          <w:b/>
          <w:szCs w:val="24"/>
          <w:lang w:val="en-US" w:eastAsia="ru-RU"/>
        </w:rPr>
        <w:instrText>parts</w:instrText>
      </w:r>
      <w:r w:rsidR="00315D6A" w:rsidRPr="00D62DF3">
        <w:rPr>
          <w:rFonts w:eastAsia="Times New Roman"/>
          <w:b/>
          <w:szCs w:val="24"/>
          <w:lang w:eastAsia="ru-RU"/>
        </w:rPr>
        <w:instrText>":[["2018","2"]]},"</w:instrText>
      </w:r>
      <w:r w:rsidR="00315D6A">
        <w:rPr>
          <w:rFonts w:eastAsia="Times New Roman"/>
          <w:b/>
          <w:szCs w:val="24"/>
          <w:lang w:val="en-US" w:eastAsia="ru-RU"/>
        </w:rPr>
        <w:instrText>page</w:instrText>
      </w:r>
      <w:r w:rsidR="00315D6A" w:rsidRPr="00D62DF3">
        <w:rPr>
          <w:rFonts w:eastAsia="Times New Roman"/>
          <w:b/>
          <w:szCs w:val="24"/>
          <w:lang w:eastAsia="ru-RU"/>
        </w:rPr>
        <w:instrText>":"179-186","</w:instrText>
      </w:r>
      <w:r w:rsidR="00315D6A">
        <w:rPr>
          <w:rFonts w:eastAsia="Times New Roman"/>
          <w:b/>
          <w:szCs w:val="24"/>
          <w:lang w:val="en-US" w:eastAsia="ru-RU"/>
        </w:rPr>
        <w:instrText>title</w:instrText>
      </w:r>
      <w:r w:rsidR="00315D6A" w:rsidRPr="00D62DF3">
        <w:rPr>
          <w:rFonts w:eastAsia="Times New Roman"/>
          <w:b/>
          <w:szCs w:val="24"/>
          <w:lang w:eastAsia="ru-RU"/>
        </w:rPr>
        <w:instrText>":"</w:instrText>
      </w:r>
      <w:r w:rsidR="00315D6A">
        <w:rPr>
          <w:rFonts w:eastAsia="Times New Roman"/>
          <w:b/>
          <w:szCs w:val="24"/>
          <w:lang w:val="en-US" w:eastAsia="ru-RU"/>
        </w:rPr>
        <w:instrText>Efficacy</w:instrText>
      </w:r>
      <w:r w:rsidR="00315D6A" w:rsidRPr="00D62DF3">
        <w:rPr>
          <w:rFonts w:eastAsia="Times New Roman"/>
          <w:b/>
          <w:szCs w:val="24"/>
          <w:lang w:eastAsia="ru-RU"/>
        </w:rPr>
        <w:instrText xml:space="preserve"> </w:instrText>
      </w:r>
      <w:r w:rsidR="00315D6A">
        <w:rPr>
          <w:rFonts w:eastAsia="Times New Roman"/>
          <w:b/>
          <w:szCs w:val="24"/>
          <w:lang w:val="en-US" w:eastAsia="ru-RU"/>
        </w:rPr>
        <w:instrText>of</w:instrText>
      </w:r>
      <w:r w:rsidR="00315D6A" w:rsidRPr="00D62DF3">
        <w:rPr>
          <w:rFonts w:eastAsia="Times New Roman"/>
          <w:b/>
          <w:szCs w:val="24"/>
          <w:lang w:eastAsia="ru-RU"/>
        </w:rPr>
        <w:instrText xml:space="preserve"> </w:instrText>
      </w:r>
      <w:r w:rsidR="00315D6A">
        <w:rPr>
          <w:rFonts w:eastAsia="Times New Roman"/>
          <w:b/>
          <w:szCs w:val="24"/>
          <w:lang w:val="en-US" w:eastAsia="ru-RU"/>
        </w:rPr>
        <w:instrText>VDT</w:instrText>
      </w:r>
      <w:r w:rsidR="00315D6A" w:rsidRPr="00D62DF3">
        <w:rPr>
          <w:rFonts w:eastAsia="Times New Roman"/>
          <w:b/>
          <w:szCs w:val="24"/>
          <w:lang w:eastAsia="ru-RU"/>
        </w:rPr>
        <w:instrText xml:space="preserve"> </w:instrText>
      </w:r>
      <w:r w:rsidR="00315D6A">
        <w:rPr>
          <w:rFonts w:eastAsia="Times New Roman"/>
          <w:b/>
          <w:szCs w:val="24"/>
          <w:lang w:val="en-US" w:eastAsia="ru-RU"/>
        </w:rPr>
        <w:instrText>PACE</w:instrText>
      </w:r>
      <w:r w:rsidR="00315D6A" w:rsidRPr="00D62DF3">
        <w:rPr>
          <w:rFonts w:eastAsia="Times New Roman"/>
          <w:b/>
          <w:szCs w:val="24"/>
          <w:lang w:eastAsia="ru-RU"/>
        </w:rPr>
        <w:instrText>-</w:instrText>
      </w:r>
      <w:r w:rsidR="00315D6A">
        <w:rPr>
          <w:rFonts w:eastAsia="Times New Roman"/>
          <w:b/>
          <w:szCs w:val="24"/>
          <w:lang w:val="en-US" w:eastAsia="ru-RU"/>
        </w:rPr>
        <w:instrText>like</w:instrText>
      </w:r>
      <w:r w:rsidR="00315D6A" w:rsidRPr="00D62DF3">
        <w:rPr>
          <w:rFonts w:eastAsia="Times New Roman"/>
          <w:b/>
          <w:szCs w:val="24"/>
          <w:lang w:eastAsia="ru-RU"/>
        </w:rPr>
        <w:instrText xml:space="preserve"> </w:instrText>
      </w:r>
      <w:r w:rsidR="00315D6A">
        <w:rPr>
          <w:rFonts w:eastAsia="Times New Roman"/>
          <w:b/>
          <w:szCs w:val="24"/>
          <w:lang w:val="en-US" w:eastAsia="ru-RU"/>
        </w:rPr>
        <w:instrText>regimens</w:instrText>
      </w:r>
      <w:r w:rsidR="00315D6A" w:rsidRPr="00D62DF3">
        <w:rPr>
          <w:rFonts w:eastAsia="Times New Roman"/>
          <w:b/>
          <w:szCs w:val="24"/>
          <w:lang w:eastAsia="ru-RU"/>
        </w:rPr>
        <w:instrText xml:space="preserve"> </w:instrText>
      </w:r>
      <w:r w:rsidR="00315D6A">
        <w:rPr>
          <w:rFonts w:eastAsia="Times New Roman"/>
          <w:b/>
          <w:szCs w:val="24"/>
          <w:lang w:val="en-US" w:eastAsia="ru-RU"/>
        </w:rPr>
        <w:instrText>in</w:instrText>
      </w:r>
      <w:r w:rsidR="00315D6A" w:rsidRPr="00D62DF3">
        <w:rPr>
          <w:rFonts w:eastAsia="Times New Roman"/>
          <w:b/>
          <w:szCs w:val="24"/>
          <w:lang w:eastAsia="ru-RU"/>
        </w:rPr>
        <w:instrText xml:space="preserve"> </w:instrText>
      </w:r>
      <w:r w:rsidR="00315D6A">
        <w:rPr>
          <w:rFonts w:eastAsia="Times New Roman"/>
          <w:b/>
          <w:szCs w:val="24"/>
          <w:lang w:val="en-US" w:eastAsia="ru-RU"/>
        </w:rPr>
        <w:instrText>treatment</w:instrText>
      </w:r>
      <w:r w:rsidR="00315D6A" w:rsidRPr="00D62DF3">
        <w:rPr>
          <w:rFonts w:eastAsia="Times New Roman"/>
          <w:b/>
          <w:szCs w:val="24"/>
          <w:lang w:eastAsia="ru-RU"/>
        </w:rPr>
        <w:instrText xml:space="preserve"> </w:instrText>
      </w:r>
      <w:r w:rsidR="00315D6A">
        <w:rPr>
          <w:rFonts w:eastAsia="Times New Roman"/>
          <w:b/>
          <w:szCs w:val="24"/>
          <w:lang w:val="en-US" w:eastAsia="ru-RU"/>
        </w:rPr>
        <w:instrText>of</w:instrText>
      </w:r>
      <w:r w:rsidR="00315D6A" w:rsidRPr="00D62DF3">
        <w:rPr>
          <w:rFonts w:eastAsia="Times New Roman"/>
          <w:b/>
          <w:szCs w:val="24"/>
          <w:lang w:eastAsia="ru-RU"/>
        </w:rPr>
        <w:instrText xml:space="preserve"> </w:instrText>
      </w:r>
      <w:r w:rsidR="00315D6A">
        <w:rPr>
          <w:rFonts w:eastAsia="Times New Roman"/>
          <w:b/>
          <w:szCs w:val="24"/>
          <w:lang w:val="en-US" w:eastAsia="ru-RU"/>
        </w:rPr>
        <w:instrText>relapsed</w:instrText>
      </w:r>
      <w:r w:rsidR="00315D6A" w:rsidRPr="00D62DF3">
        <w:rPr>
          <w:rFonts w:eastAsia="Times New Roman"/>
          <w:b/>
          <w:szCs w:val="24"/>
          <w:lang w:eastAsia="ru-RU"/>
        </w:rPr>
        <w:instrText>/</w:instrText>
      </w:r>
      <w:r w:rsidR="00315D6A">
        <w:rPr>
          <w:rFonts w:eastAsia="Times New Roman"/>
          <w:b/>
          <w:szCs w:val="24"/>
          <w:lang w:val="en-US" w:eastAsia="ru-RU"/>
        </w:rPr>
        <w:instrText>refractory</w:instrText>
      </w:r>
      <w:r w:rsidR="00315D6A" w:rsidRPr="00D62DF3">
        <w:rPr>
          <w:rFonts w:eastAsia="Times New Roman"/>
          <w:b/>
          <w:szCs w:val="24"/>
          <w:lang w:eastAsia="ru-RU"/>
        </w:rPr>
        <w:instrText xml:space="preserve"> </w:instrText>
      </w:r>
      <w:r w:rsidR="00315D6A">
        <w:rPr>
          <w:rFonts w:eastAsia="Times New Roman"/>
          <w:b/>
          <w:szCs w:val="24"/>
          <w:lang w:val="en-US" w:eastAsia="ru-RU"/>
        </w:rPr>
        <w:instrText>multiple</w:instrText>
      </w:r>
      <w:r w:rsidR="00315D6A" w:rsidRPr="00D62DF3">
        <w:rPr>
          <w:rFonts w:eastAsia="Times New Roman"/>
          <w:b/>
          <w:szCs w:val="24"/>
          <w:lang w:eastAsia="ru-RU"/>
        </w:rPr>
        <w:instrText xml:space="preserve"> </w:instrText>
      </w:r>
      <w:r w:rsidR="00315D6A">
        <w:rPr>
          <w:rFonts w:eastAsia="Times New Roman"/>
          <w:b/>
          <w:szCs w:val="24"/>
          <w:lang w:val="en-US" w:eastAsia="ru-RU"/>
        </w:rPr>
        <w:instrText>myeloma</w:instrText>
      </w:r>
      <w:r w:rsidR="00315D6A" w:rsidRPr="00D62DF3">
        <w:rPr>
          <w:rFonts w:eastAsia="Times New Roman"/>
          <w:b/>
          <w:szCs w:val="24"/>
          <w:lang w:eastAsia="ru-RU"/>
        </w:rPr>
        <w:instrText>","</w:instrText>
      </w:r>
      <w:r w:rsidR="00315D6A">
        <w:rPr>
          <w:rFonts w:eastAsia="Times New Roman"/>
          <w:b/>
          <w:szCs w:val="24"/>
          <w:lang w:val="en-US" w:eastAsia="ru-RU"/>
        </w:rPr>
        <w:instrText>type</w:instrText>
      </w:r>
      <w:r w:rsidR="00315D6A" w:rsidRPr="00D62DF3">
        <w:rPr>
          <w:rFonts w:eastAsia="Times New Roman"/>
          <w:b/>
          <w:szCs w:val="24"/>
          <w:lang w:eastAsia="ru-RU"/>
        </w:rPr>
        <w:instrText>":"</w:instrText>
      </w:r>
      <w:r w:rsidR="00315D6A">
        <w:rPr>
          <w:rFonts w:eastAsia="Times New Roman"/>
          <w:b/>
          <w:szCs w:val="24"/>
          <w:lang w:val="en-US" w:eastAsia="ru-RU"/>
        </w:rPr>
        <w:instrText>article</w:instrText>
      </w:r>
      <w:r w:rsidR="00315D6A" w:rsidRPr="00D62DF3">
        <w:rPr>
          <w:rFonts w:eastAsia="Times New Roman"/>
          <w:b/>
          <w:szCs w:val="24"/>
          <w:lang w:eastAsia="ru-RU"/>
        </w:rPr>
        <w:instrText>-</w:instrText>
      </w:r>
      <w:r w:rsidR="00315D6A">
        <w:rPr>
          <w:rFonts w:eastAsia="Times New Roman"/>
          <w:b/>
          <w:szCs w:val="24"/>
          <w:lang w:val="en-US" w:eastAsia="ru-RU"/>
        </w:rPr>
        <w:instrText>journal</w:instrText>
      </w:r>
      <w:r w:rsidR="00315D6A" w:rsidRPr="00D62DF3">
        <w:rPr>
          <w:rFonts w:eastAsia="Times New Roman"/>
          <w:b/>
          <w:szCs w:val="24"/>
          <w:lang w:eastAsia="ru-RU"/>
        </w:rPr>
        <w:instrText>","</w:instrText>
      </w:r>
      <w:r w:rsidR="00315D6A">
        <w:rPr>
          <w:rFonts w:eastAsia="Times New Roman"/>
          <w:b/>
          <w:szCs w:val="24"/>
          <w:lang w:val="en-US" w:eastAsia="ru-RU"/>
        </w:rPr>
        <w:instrText>volume</w:instrText>
      </w:r>
      <w:r w:rsidR="00315D6A" w:rsidRPr="00D62DF3">
        <w:rPr>
          <w:rFonts w:eastAsia="Times New Roman"/>
          <w:b/>
          <w:szCs w:val="24"/>
          <w:lang w:eastAsia="ru-RU"/>
        </w:rPr>
        <w:instrText>":"93"},"</w:instrText>
      </w:r>
      <w:r w:rsidR="00315D6A">
        <w:rPr>
          <w:rFonts w:eastAsia="Times New Roman"/>
          <w:b/>
          <w:szCs w:val="24"/>
          <w:lang w:val="en-US" w:eastAsia="ru-RU"/>
        </w:rPr>
        <w:instrText>uris</w:instrText>
      </w:r>
      <w:r w:rsidR="00315D6A" w:rsidRPr="00D62DF3">
        <w:rPr>
          <w:rFonts w:eastAsia="Times New Roman"/>
          <w:b/>
          <w:szCs w:val="24"/>
          <w:lang w:eastAsia="ru-RU"/>
        </w:rPr>
        <w:instrText>":["</w:instrText>
      </w:r>
      <w:r w:rsidR="00315D6A">
        <w:rPr>
          <w:rFonts w:eastAsia="Times New Roman"/>
          <w:b/>
          <w:szCs w:val="24"/>
          <w:lang w:val="en-US" w:eastAsia="ru-RU"/>
        </w:rPr>
        <w:instrText>http</w:instrText>
      </w:r>
      <w:r w:rsidR="00315D6A" w:rsidRPr="00D62DF3">
        <w:rPr>
          <w:rFonts w:eastAsia="Times New Roman"/>
          <w:b/>
          <w:szCs w:val="24"/>
          <w:lang w:eastAsia="ru-RU"/>
        </w:rPr>
        <w:instrText>://</w:instrText>
      </w:r>
      <w:r w:rsidR="00315D6A">
        <w:rPr>
          <w:rFonts w:eastAsia="Times New Roman"/>
          <w:b/>
          <w:szCs w:val="24"/>
          <w:lang w:val="en-US" w:eastAsia="ru-RU"/>
        </w:rPr>
        <w:instrText>www</w:instrText>
      </w:r>
      <w:r w:rsidR="00315D6A" w:rsidRPr="00D62DF3">
        <w:rPr>
          <w:rFonts w:eastAsia="Times New Roman"/>
          <w:b/>
          <w:szCs w:val="24"/>
          <w:lang w:eastAsia="ru-RU"/>
        </w:rPr>
        <w:instrText>.</w:instrText>
      </w:r>
      <w:r w:rsidR="00315D6A">
        <w:rPr>
          <w:rFonts w:eastAsia="Times New Roman"/>
          <w:b/>
          <w:szCs w:val="24"/>
          <w:lang w:val="en-US" w:eastAsia="ru-RU"/>
        </w:rPr>
        <w:instrText>mendeley</w:instrText>
      </w:r>
      <w:r w:rsidR="00315D6A" w:rsidRPr="00D62DF3">
        <w:rPr>
          <w:rFonts w:eastAsia="Times New Roman"/>
          <w:b/>
          <w:szCs w:val="24"/>
          <w:lang w:eastAsia="ru-RU"/>
        </w:rPr>
        <w:instrText>.</w:instrText>
      </w:r>
      <w:r w:rsidR="00315D6A">
        <w:rPr>
          <w:rFonts w:eastAsia="Times New Roman"/>
          <w:b/>
          <w:szCs w:val="24"/>
          <w:lang w:val="en-US" w:eastAsia="ru-RU"/>
        </w:rPr>
        <w:instrText>com</w:instrText>
      </w:r>
      <w:r w:rsidR="00315D6A" w:rsidRPr="00D62DF3">
        <w:rPr>
          <w:rFonts w:eastAsia="Times New Roman"/>
          <w:b/>
          <w:szCs w:val="24"/>
          <w:lang w:eastAsia="ru-RU"/>
        </w:rPr>
        <w:instrText>/</w:instrText>
      </w:r>
      <w:r w:rsidR="00315D6A">
        <w:rPr>
          <w:rFonts w:eastAsia="Times New Roman"/>
          <w:b/>
          <w:szCs w:val="24"/>
          <w:lang w:val="en-US" w:eastAsia="ru-RU"/>
        </w:rPr>
        <w:instrText>documents</w:instrText>
      </w:r>
      <w:r w:rsidR="00315D6A" w:rsidRPr="00D62DF3">
        <w:rPr>
          <w:rFonts w:eastAsia="Times New Roman"/>
          <w:b/>
          <w:szCs w:val="24"/>
          <w:lang w:eastAsia="ru-RU"/>
        </w:rPr>
        <w:instrText>/?</w:instrText>
      </w:r>
      <w:r w:rsidR="00315D6A">
        <w:rPr>
          <w:rFonts w:eastAsia="Times New Roman"/>
          <w:b/>
          <w:szCs w:val="24"/>
          <w:lang w:val="en-US" w:eastAsia="ru-RU"/>
        </w:rPr>
        <w:instrText>uuid</w:instrText>
      </w:r>
      <w:r w:rsidR="00315D6A" w:rsidRPr="00D62DF3">
        <w:rPr>
          <w:rFonts w:eastAsia="Times New Roman"/>
          <w:b/>
          <w:szCs w:val="24"/>
          <w:lang w:eastAsia="ru-RU"/>
        </w:rPr>
        <w:instrText>=50743</w:instrText>
      </w:r>
      <w:r w:rsidR="00315D6A">
        <w:rPr>
          <w:rFonts w:eastAsia="Times New Roman"/>
          <w:b/>
          <w:szCs w:val="24"/>
          <w:lang w:val="en-US" w:eastAsia="ru-RU"/>
        </w:rPr>
        <w:instrText>ed</w:instrText>
      </w:r>
      <w:r w:rsidR="00315D6A" w:rsidRPr="00D62DF3">
        <w:rPr>
          <w:rFonts w:eastAsia="Times New Roman"/>
          <w:b/>
          <w:szCs w:val="24"/>
          <w:lang w:eastAsia="ru-RU"/>
        </w:rPr>
        <w:instrText>5-</w:instrText>
      </w:r>
      <w:r w:rsidR="00315D6A">
        <w:rPr>
          <w:rFonts w:eastAsia="Times New Roman"/>
          <w:b/>
          <w:szCs w:val="24"/>
          <w:lang w:val="en-US" w:eastAsia="ru-RU"/>
        </w:rPr>
        <w:instrText>cabd</w:instrText>
      </w:r>
      <w:r w:rsidR="00315D6A" w:rsidRPr="00D62DF3">
        <w:rPr>
          <w:rFonts w:eastAsia="Times New Roman"/>
          <w:b/>
          <w:szCs w:val="24"/>
          <w:lang w:eastAsia="ru-RU"/>
        </w:rPr>
        <w:instrText>-3</w:instrText>
      </w:r>
      <w:r w:rsidR="00315D6A">
        <w:rPr>
          <w:rFonts w:eastAsia="Times New Roman"/>
          <w:b/>
          <w:szCs w:val="24"/>
          <w:lang w:val="en-US" w:eastAsia="ru-RU"/>
        </w:rPr>
        <w:instrText>f</w:instrText>
      </w:r>
      <w:r w:rsidR="00315D6A" w:rsidRPr="00D62DF3">
        <w:rPr>
          <w:rFonts w:eastAsia="Times New Roman"/>
          <w:b/>
          <w:szCs w:val="24"/>
          <w:lang w:eastAsia="ru-RU"/>
        </w:rPr>
        <w:instrText>80-</w:instrText>
      </w:r>
      <w:r w:rsidR="00315D6A">
        <w:rPr>
          <w:rFonts w:eastAsia="Times New Roman"/>
          <w:b/>
          <w:szCs w:val="24"/>
          <w:lang w:val="en-US" w:eastAsia="ru-RU"/>
        </w:rPr>
        <w:instrText>a</w:instrText>
      </w:r>
      <w:r w:rsidR="00315D6A" w:rsidRPr="00D62DF3">
        <w:rPr>
          <w:rFonts w:eastAsia="Times New Roman"/>
          <w:b/>
          <w:szCs w:val="24"/>
          <w:lang w:eastAsia="ru-RU"/>
        </w:rPr>
        <w:instrText>811-20</w:instrText>
      </w:r>
      <w:r w:rsidR="00315D6A">
        <w:rPr>
          <w:rFonts w:eastAsia="Times New Roman"/>
          <w:b/>
          <w:szCs w:val="24"/>
          <w:lang w:val="en-US" w:eastAsia="ru-RU"/>
        </w:rPr>
        <w:instrText>d</w:instrText>
      </w:r>
      <w:r w:rsidR="00315D6A" w:rsidRPr="00D62DF3">
        <w:rPr>
          <w:rFonts w:eastAsia="Times New Roman"/>
          <w:b/>
          <w:szCs w:val="24"/>
          <w:lang w:eastAsia="ru-RU"/>
        </w:rPr>
        <w:instrText>6</w:instrText>
      </w:r>
      <w:r w:rsidR="00315D6A">
        <w:rPr>
          <w:rFonts w:eastAsia="Times New Roman"/>
          <w:b/>
          <w:szCs w:val="24"/>
          <w:lang w:val="en-US" w:eastAsia="ru-RU"/>
        </w:rPr>
        <w:instrText>b</w:instrText>
      </w:r>
      <w:r w:rsidR="00315D6A" w:rsidRPr="00D62DF3">
        <w:rPr>
          <w:rFonts w:eastAsia="Times New Roman"/>
          <w:b/>
          <w:szCs w:val="24"/>
          <w:lang w:eastAsia="ru-RU"/>
        </w:rPr>
        <w:instrText>278</w:instrText>
      </w:r>
      <w:r w:rsidR="00315D6A">
        <w:rPr>
          <w:rFonts w:eastAsia="Times New Roman"/>
          <w:b/>
          <w:szCs w:val="24"/>
          <w:lang w:val="en-US" w:eastAsia="ru-RU"/>
        </w:rPr>
        <w:instrText>cc</w:instrText>
      </w:r>
      <w:r w:rsidR="00315D6A" w:rsidRPr="00D62DF3">
        <w:rPr>
          <w:rFonts w:eastAsia="Times New Roman"/>
          <w:b/>
          <w:szCs w:val="24"/>
          <w:lang w:eastAsia="ru-RU"/>
        </w:rPr>
        <w:instrText>20"]}],"</w:instrText>
      </w:r>
      <w:r w:rsidR="00315D6A">
        <w:rPr>
          <w:rFonts w:eastAsia="Times New Roman"/>
          <w:b/>
          <w:szCs w:val="24"/>
          <w:lang w:val="en-US" w:eastAsia="ru-RU"/>
        </w:rPr>
        <w:instrText>mendeley</w:instrText>
      </w:r>
      <w:r w:rsidR="00315D6A" w:rsidRPr="00D62DF3">
        <w:rPr>
          <w:rFonts w:eastAsia="Times New Roman"/>
          <w:b/>
          <w:szCs w:val="24"/>
          <w:lang w:eastAsia="ru-RU"/>
        </w:rPr>
        <w:instrText>":{"</w:instrText>
      </w:r>
      <w:r w:rsidR="00315D6A">
        <w:rPr>
          <w:rFonts w:eastAsia="Times New Roman"/>
          <w:b/>
          <w:szCs w:val="24"/>
          <w:lang w:val="en-US" w:eastAsia="ru-RU"/>
        </w:rPr>
        <w:instrText>formattedCitation</w:instrText>
      </w:r>
      <w:r w:rsidR="00315D6A" w:rsidRPr="00D62DF3">
        <w:rPr>
          <w:rFonts w:eastAsia="Times New Roman"/>
          <w:b/>
          <w:szCs w:val="24"/>
          <w:lang w:eastAsia="ru-RU"/>
        </w:rPr>
        <w:instrText>":"[81]","</w:instrText>
      </w:r>
      <w:r w:rsidR="00315D6A">
        <w:rPr>
          <w:rFonts w:eastAsia="Times New Roman"/>
          <w:b/>
          <w:szCs w:val="24"/>
          <w:lang w:val="en-US" w:eastAsia="ru-RU"/>
        </w:rPr>
        <w:instrText>plainTextFormattedCitation</w:instrText>
      </w:r>
      <w:r w:rsidR="00315D6A" w:rsidRPr="00D62DF3">
        <w:rPr>
          <w:rFonts w:eastAsia="Times New Roman"/>
          <w:b/>
          <w:szCs w:val="24"/>
          <w:lang w:eastAsia="ru-RU"/>
        </w:rPr>
        <w:instrText>":"[81]","</w:instrText>
      </w:r>
      <w:r w:rsidR="00315D6A">
        <w:rPr>
          <w:rFonts w:eastAsia="Times New Roman"/>
          <w:b/>
          <w:szCs w:val="24"/>
          <w:lang w:val="en-US" w:eastAsia="ru-RU"/>
        </w:rPr>
        <w:instrText>previouslyFormattedCitation</w:instrText>
      </w:r>
      <w:r w:rsidR="00315D6A" w:rsidRPr="00D62DF3">
        <w:rPr>
          <w:rFonts w:eastAsia="Times New Roman"/>
          <w:b/>
          <w:szCs w:val="24"/>
          <w:lang w:eastAsia="ru-RU"/>
        </w:rPr>
        <w:instrText>":"[80]"},"</w:instrText>
      </w:r>
      <w:r w:rsidR="00315D6A">
        <w:rPr>
          <w:rFonts w:eastAsia="Times New Roman"/>
          <w:b/>
          <w:szCs w:val="24"/>
          <w:lang w:val="en-US" w:eastAsia="ru-RU"/>
        </w:rPr>
        <w:instrText>properties</w:instrText>
      </w:r>
      <w:r w:rsidR="00315D6A" w:rsidRPr="00D62DF3">
        <w:rPr>
          <w:rFonts w:eastAsia="Times New Roman"/>
          <w:b/>
          <w:szCs w:val="24"/>
          <w:lang w:eastAsia="ru-RU"/>
        </w:rPr>
        <w:instrText>":{"</w:instrText>
      </w:r>
      <w:r w:rsidR="00315D6A">
        <w:rPr>
          <w:rFonts w:eastAsia="Times New Roman"/>
          <w:b/>
          <w:szCs w:val="24"/>
          <w:lang w:val="en-US" w:eastAsia="ru-RU"/>
        </w:rPr>
        <w:instrText>noteIndex</w:instrText>
      </w:r>
      <w:r w:rsidR="00315D6A" w:rsidRPr="00D62DF3">
        <w:rPr>
          <w:rFonts w:eastAsia="Times New Roman"/>
          <w:b/>
          <w:szCs w:val="24"/>
          <w:lang w:eastAsia="ru-RU"/>
        </w:rPr>
        <w:instrText>":0},"</w:instrText>
      </w:r>
      <w:r w:rsidR="00315D6A">
        <w:rPr>
          <w:rFonts w:eastAsia="Times New Roman"/>
          <w:b/>
          <w:szCs w:val="24"/>
          <w:lang w:val="en-US" w:eastAsia="ru-RU"/>
        </w:rPr>
        <w:instrText>schema</w:instrText>
      </w:r>
      <w:r w:rsidR="00315D6A" w:rsidRPr="00D62DF3">
        <w:rPr>
          <w:rFonts w:eastAsia="Times New Roman"/>
          <w:b/>
          <w:szCs w:val="24"/>
          <w:lang w:eastAsia="ru-RU"/>
        </w:rPr>
        <w:instrText>":"</w:instrText>
      </w:r>
      <w:r w:rsidR="00315D6A">
        <w:rPr>
          <w:rFonts w:eastAsia="Times New Roman"/>
          <w:b/>
          <w:szCs w:val="24"/>
          <w:lang w:val="en-US" w:eastAsia="ru-RU"/>
        </w:rPr>
        <w:instrText>https</w:instrText>
      </w:r>
      <w:r w:rsidR="00315D6A" w:rsidRPr="00D62DF3">
        <w:rPr>
          <w:rFonts w:eastAsia="Times New Roman"/>
          <w:b/>
          <w:szCs w:val="24"/>
          <w:lang w:eastAsia="ru-RU"/>
        </w:rPr>
        <w:instrText>://</w:instrText>
      </w:r>
      <w:r w:rsidR="00315D6A">
        <w:rPr>
          <w:rFonts w:eastAsia="Times New Roman"/>
          <w:b/>
          <w:szCs w:val="24"/>
          <w:lang w:val="en-US" w:eastAsia="ru-RU"/>
        </w:rPr>
        <w:instrText>github</w:instrText>
      </w:r>
      <w:r w:rsidR="00315D6A" w:rsidRPr="00D62DF3">
        <w:rPr>
          <w:rFonts w:eastAsia="Times New Roman"/>
          <w:b/>
          <w:szCs w:val="24"/>
          <w:lang w:eastAsia="ru-RU"/>
        </w:rPr>
        <w:instrText>.</w:instrText>
      </w:r>
      <w:r w:rsidR="00315D6A">
        <w:rPr>
          <w:rFonts w:eastAsia="Times New Roman"/>
          <w:b/>
          <w:szCs w:val="24"/>
          <w:lang w:val="en-US" w:eastAsia="ru-RU"/>
        </w:rPr>
        <w:instrText>com</w:instrText>
      </w:r>
      <w:r w:rsidR="00315D6A" w:rsidRPr="00D62DF3">
        <w:rPr>
          <w:rFonts w:eastAsia="Times New Roman"/>
          <w:b/>
          <w:szCs w:val="24"/>
          <w:lang w:eastAsia="ru-RU"/>
        </w:rPr>
        <w:instrText>/</w:instrText>
      </w:r>
      <w:r w:rsidR="00315D6A">
        <w:rPr>
          <w:rFonts w:eastAsia="Times New Roman"/>
          <w:b/>
          <w:szCs w:val="24"/>
          <w:lang w:val="en-US" w:eastAsia="ru-RU"/>
        </w:rPr>
        <w:instrText>citation</w:instrText>
      </w:r>
      <w:r w:rsidR="00315D6A" w:rsidRPr="00D62DF3">
        <w:rPr>
          <w:rFonts w:eastAsia="Times New Roman"/>
          <w:b/>
          <w:szCs w:val="24"/>
          <w:lang w:eastAsia="ru-RU"/>
        </w:rPr>
        <w:instrText>-</w:instrText>
      </w:r>
      <w:r w:rsidR="00315D6A">
        <w:rPr>
          <w:rFonts w:eastAsia="Times New Roman"/>
          <w:b/>
          <w:szCs w:val="24"/>
          <w:lang w:val="en-US" w:eastAsia="ru-RU"/>
        </w:rPr>
        <w:instrText>style</w:instrText>
      </w:r>
      <w:r w:rsidR="00315D6A" w:rsidRPr="00D62DF3">
        <w:rPr>
          <w:rFonts w:eastAsia="Times New Roman"/>
          <w:b/>
          <w:szCs w:val="24"/>
          <w:lang w:eastAsia="ru-RU"/>
        </w:rPr>
        <w:instrText>-</w:instrText>
      </w:r>
      <w:r w:rsidR="00315D6A">
        <w:rPr>
          <w:rFonts w:eastAsia="Times New Roman"/>
          <w:b/>
          <w:szCs w:val="24"/>
          <w:lang w:val="en-US" w:eastAsia="ru-RU"/>
        </w:rPr>
        <w:instrText>language</w:instrText>
      </w:r>
      <w:r w:rsidR="00315D6A" w:rsidRPr="00D62DF3">
        <w:rPr>
          <w:rFonts w:eastAsia="Times New Roman"/>
          <w:b/>
          <w:szCs w:val="24"/>
          <w:lang w:eastAsia="ru-RU"/>
        </w:rPr>
        <w:instrText>/</w:instrText>
      </w:r>
      <w:r w:rsidR="00315D6A">
        <w:rPr>
          <w:rFonts w:eastAsia="Times New Roman"/>
          <w:b/>
          <w:szCs w:val="24"/>
          <w:lang w:val="en-US" w:eastAsia="ru-RU"/>
        </w:rPr>
        <w:instrText>schema</w:instrText>
      </w:r>
      <w:r w:rsidR="00315D6A" w:rsidRPr="00D62DF3">
        <w:rPr>
          <w:rFonts w:eastAsia="Times New Roman"/>
          <w:b/>
          <w:szCs w:val="24"/>
          <w:lang w:eastAsia="ru-RU"/>
        </w:rPr>
        <w:instrText>/</w:instrText>
      </w:r>
      <w:r w:rsidR="00315D6A">
        <w:rPr>
          <w:rFonts w:eastAsia="Times New Roman"/>
          <w:b/>
          <w:szCs w:val="24"/>
          <w:lang w:val="en-US" w:eastAsia="ru-RU"/>
        </w:rPr>
        <w:instrText>raw</w:instrText>
      </w:r>
      <w:r w:rsidR="00315D6A" w:rsidRPr="00D62DF3">
        <w:rPr>
          <w:rFonts w:eastAsia="Times New Roman"/>
          <w:b/>
          <w:szCs w:val="24"/>
          <w:lang w:eastAsia="ru-RU"/>
        </w:rPr>
        <w:instrText>/</w:instrText>
      </w:r>
      <w:r w:rsidR="00315D6A">
        <w:rPr>
          <w:rFonts w:eastAsia="Times New Roman"/>
          <w:b/>
          <w:szCs w:val="24"/>
          <w:lang w:val="en-US" w:eastAsia="ru-RU"/>
        </w:rPr>
        <w:instrText>master</w:instrText>
      </w:r>
      <w:r w:rsidR="00315D6A" w:rsidRPr="00D62DF3">
        <w:rPr>
          <w:rFonts w:eastAsia="Times New Roman"/>
          <w:b/>
          <w:szCs w:val="24"/>
          <w:lang w:eastAsia="ru-RU"/>
        </w:rPr>
        <w:instrText>/</w:instrText>
      </w:r>
      <w:r w:rsidR="00315D6A">
        <w:rPr>
          <w:rFonts w:eastAsia="Times New Roman"/>
          <w:b/>
          <w:szCs w:val="24"/>
          <w:lang w:val="en-US" w:eastAsia="ru-RU"/>
        </w:rPr>
        <w:instrText>csl</w:instrText>
      </w:r>
      <w:r w:rsidR="00315D6A" w:rsidRPr="00D62DF3">
        <w:rPr>
          <w:rFonts w:eastAsia="Times New Roman"/>
          <w:b/>
          <w:szCs w:val="24"/>
          <w:lang w:eastAsia="ru-RU"/>
        </w:rPr>
        <w:instrText>-</w:instrText>
      </w:r>
      <w:r w:rsidR="00315D6A">
        <w:rPr>
          <w:rFonts w:eastAsia="Times New Roman"/>
          <w:b/>
          <w:szCs w:val="24"/>
          <w:lang w:val="en-US" w:eastAsia="ru-RU"/>
        </w:rPr>
        <w:instrText>citation</w:instrText>
      </w:r>
      <w:r w:rsidR="00315D6A" w:rsidRPr="00D62DF3">
        <w:rPr>
          <w:rFonts w:eastAsia="Times New Roman"/>
          <w:b/>
          <w:szCs w:val="24"/>
          <w:lang w:eastAsia="ru-RU"/>
        </w:rPr>
        <w:instrText>.</w:instrText>
      </w:r>
      <w:r w:rsidR="00315D6A">
        <w:rPr>
          <w:rFonts w:eastAsia="Times New Roman"/>
          <w:b/>
          <w:szCs w:val="24"/>
          <w:lang w:val="en-US" w:eastAsia="ru-RU"/>
        </w:rPr>
        <w:instrText>json</w:instrText>
      </w:r>
      <w:r w:rsidR="00315D6A" w:rsidRPr="00D62DF3">
        <w:rPr>
          <w:rFonts w:eastAsia="Times New Roman"/>
          <w:b/>
          <w:szCs w:val="24"/>
          <w:lang w:eastAsia="ru-RU"/>
        </w:rPr>
        <w:instrText>"}</w:instrText>
      </w:r>
      <w:r w:rsidR="001E16F8">
        <w:rPr>
          <w:rFonts w:eastAsia="Times New Roman"/>
          <w:b/>
          <w:szCs w:val="24"/>
          <w:lang w:val="en-US" w:eastAsia="ru-RU"/>
        </w:rPr>
        <w:fldChar w:fldCharType="separate"/>
      </w:r>
      <w:r w:rsidR="00315D6A" w:rsidRPr="00315D6A">
        <w:rPr>
          <w:rFonts w:eastAsia="Times New Roman"/>
          <w:noProof/>
          <w:szCs w:val="24"/>
          <w:lang w:eastAsia="ru-RU"/>
        </w:rPr>
        <w:t>[81]</w:t>
      </w:r>
      <w:r w:rsidR="001E16F8">
        <w:rPr>
          <w:rFonts w:eastAsia="Times New Roman"/>
          <w:b/>
          <w:szCs w:val="24"/>
          <w:lang w:val="en-US" w:eastAsia="ru-RU"/>
        </w:rPr>
        <w:fldChar w:fldCharType="end"/>
      </w:r>
    </w:p>
    <w:p w:rsidR="000546DA" w:rsidRPr="00E93D36" w:rsidRDefault="000546DA" w:rsidP="002F2D5C">
      <w:pPr>
        <w:pStyle w:val="a5"/>
        <w:numPr>
          <w:ilvl w:val="0"/>
          <w:numId w:val="55"/>
        </w:numPr>
        <w:spacing w:before="0" w:after="0"/>
        <w:jc w:val="left"/>
        <w:rPr>
          <w:rFonts w:eastAsia="Times New Roman"/>
          <w:szCs w:val="24"/>
          <w:lang w:eastAsia="ru-RU"/>
        </w:rPr>
      </w:pPr>
      <w:r w:rsidRPr="00E93D36">
        <w:rPr>
          <w:rFonts w:eastAsia="Times New Roman"/>
          <w:szCs w:val="24"/>
          <w:lang w:eastAsia="ru-RU"/>
        </w:rPr>
        <w:t>Бортезомиб</w:t>
      </w:r>
      <w:r>
        <w:rPr>
          <w:rFonts w:eastAsia="Times New Roman"/>
          <w:szCs w:val="24"/>
          <w:lang w:eastAsia="ru-RU"/>
        </w:rPr>
        <w:t>**</w:t>
      </w:r>
      <w:r w:rsidRPr="00E93D36">
        <w:rPr>
          <w:rFonts w:eastAsia="Times New Roman"/>
          <w:szCs w:val="24"/>
          <w:lang w:eastAsia="ru-RU"/>
        </w:rPr>
        <w:t xml:space="preserve"> 1,3 мг/м</w:t>
      </w:r>
      <w:r w:rsidRPr="00E93D36">
        <w:rPr>
          <w:rFonts w:eastAsia="Times New Roman"/>
          <w:szCs w:val="24"/>
          <w:vertAlign w:val="superscript"/>
          <w:lang w:eastAsia="ru-RU"/>
        </w:rPr>
        <w:t>2</w:t>
      </w:r>
      <w:r w:rsidRPr="00E93D36">
        <w:rPr>
          <w:rFonts w:eastAsia="Times New Roman"/>
          <w:szCs w:val="24"/>
          <w:lang w:eastAsia="ru-RU"/>
        </w:rPr>
        <w:t xml:space="preserve"> в/в струйно, дни 1, 4, 8, 11</w:t>
      </w:r>
      <w:r w:rsidR="00522C92">
        <w:rPr>
          <w:rFonts w:eastAsia="Times New Roman"/>
          <w:szCs w:val="24"/>
          <w:lang w:eastAsia="ru-RU"/>
        </w:rPr>
        <w:t>-й</w:t>
      </w:r>
      <w:r w:rsidRPr="00E93D36">
        <w:rPr>
          <w:rFonts w:eastAsia="Times New Roman"/>
          <w:szCs w:val="24"/>
          <w:lang w:eastAsia="ru-RU"/>
        </w:rPr>
        <w:t xml:space="preserve"> </w:t>
      </w:r>
    </w:p>
    <w:p w:rsidR="000546DA" w:rsidRPr="00E93D36" w:rsidRDefault="000546DA" w:rsidP="002F2D5C">
      <w:pPr>
        <w:pStyle w:val="a5"/>
        <w:numPr>
          <w:ilvl w:val="0"/>
          <w:numId w:val="55"/>
        </w:numPr>
        <w:spacing w:before="0" w:after="0"/>
        <w:jc w:val="left"/>
        <w:rPr>
          <w:rFonts w:eastAsia="Times New Roman"/>
          <w:szCs w:val="24"/>
          <w:lang w:eastAsia="ru-RU"/>
        </w:rPr>
      </w:pPr>
      <w:r w:rsidRPr="00E93D36">
        <w:rPr>
          <w:rFonts w:eastAsia="Times New Roman"/>
          <w:szCs w:val="24"/>
          <w:lang w:eastAsia="ru-RU"/>
        </w:rPr>
        <w:t>Дексаметазон</w:t>
      </w:r>
      <w:r>
        <w:rPr>
          <w:rFonts w:eastAsia="Times New Roman"/>
          <w:szCs w:val="24"/>
          <w:lang w:eastAsia="ru-RU"/>
        </w:rPr>
        <w:t>**</w:t>
      </w:r>
      <w:r w:rsidRPr="00E93D36">
        <w:rPr>
          <w:rFonts w:eastAsia="Times New Roman"/>
          <w:szCs w:val="24"/>
          <w:lang w:eastAsia="ru-RU"/>
        </w:rPr>
        <w:tab/>
        <w:t>40 мг в/в или внутрь, дни</w:t>
      </w:r>
      <w:r w:rsidR="00C90E6C">
        <w:rPr>
          <w:rFonts w:eastAsia="Times New Roman"/>
          <w:szCs w:val="24"/>
          <w:lang w:eastAsia="ru-RU"/>
        </w:rPr>
        <w:t xml:space="preserve"> 1‒4</w:t>
      </w:r>
      <w:r w:rsidR="00522C92">
        <w:rPr>
          <w:rFonts w:eastAsia="Times New Roman"/>
          <w:szCs w:val="24"/>
          <w:lang w:eastAsia="ru-RU"/>
        </w:rPr>
        <w:t>-й</w:t>
      </w:r>
      <w:r w:rsidRPr="00E93D36">
        <w:rPr>
          <w:rFonts w:eastAsia="Times New Roman"/>
          <w:szCs w:val="24"/>
          <w:lang w:eastAsia="ru-RU"/>
        </w:rPr>
        <w:t xml:space="preserve"> </w:t>
      </w:r>
    </w:p>
    <w:p w:rsidR="000546DA" w:rsidRPr="00E93D36" w:rsidRDefault="000546DA" w:rsidP="002F2D5C">
      <w:pPr>
        <w:pStyle w:val="a5"/>
        <w:numPr>
          <w:ilvl w:val="0"/>
          <w:numId w:val="55"/>
        </w:numPr>
        <w:spacing w:before="0" w:after="0"/>
        <w:jc w:val="left"/>
        <w:rPr>
          <w:rFonts w:eastAsia="Times New Roman"/>
          <w:szCs w:val="24"/>
          <w:lang w:eastAsia="ru-RU"/>
        </w:rPr>
      </w:pPr>
      <w:r w:rsidRPr="00C91E36">
        <w:rPr>
          <w:rFonts w:eastAsia="Times New Roman"/>
          <w:szCs w:val="24"/>
          <w:lang w:eastAsia="ru-RU"/>
        </w:rPr>
        <w:t>#</w:t>
      </w:r>
      <w:r w:rsidRPr="00E93D36">
        <w:rPr>
          <w:rFonts w:eastAsia="Times New Roman"/>
          <w:szCs w:val="24"/>
          <w:lang w:eastAsia="ru-RU"/>
        </w:rPr>
        <w:t>Цисплатин</w:t>
      </w:r>
      <w:r>
        <w:rPr>
          <w:rFonts w:eastAsia="Times New Roman"/>
          <w:szCs w:val="24"/>
          <w:lang w:eastAsia="ru-RU"/>
        </w:rPr>
        <w:t>**</w:t>
      </w:r>
      <w:r w:rsidRPr="00E93D36">
        <w:rPr>
          <w:rFonts w:eastAsia="Times New Roman"/>
          <w:szCs w:val="24"/>
          <w:lang w:eastAsia="ru-RU"/>
        </w:rPr>
        <w:t xml:space="preserve"> 10 мг/м</w:t>
      </w:r>
      <w:r w:rsidRPr="00E93D36">
        <w:rPr>
          <w:rFonts w:eastAsia="Times New Roman"/>
          <w:szCs w:val="24"/>
          <w:vertAlign w:val="superscript"/>
          <w:lang w:eastAsia="ru-RU"/>
        </w:rPr>
        <w:t>2</w:t>
      </w:r>
      <w:r w:rsidRPr="00E93D36">
        <w:rPr>
          <w:rFonts w:eastAsia="Times New Roman"/>
          <w:szCs w:val="24"/>
          <w:lang w:eastAsia="ru-RU"/>
        </w:rPr>
        <w:t xml:space="preserve"> в/в 24-часовая инфузия, дни 4</w:t>
      </w:r>
      <w:r w:rsidR="00522C92">
        <w:rPr>
          <w:rFonts w:eastAsia="Times New Roman"/>
          <w:szCs w:val="24"/>
          <w:lang w:eastAsia="ru-RU"/>
        </w:rPr>
        <w:t>‒</w:t>
      </w:r>
      <w:r w:rsidRPr="00E93D36">
        <w:rPr>
          <w:rFonts w:eastAsia="Times New Roman"/>
          <w:szCs w:val="24"/>
          <w:lang w:eastAsia="ru-RU"/>
        </w:rPr>
        <w:t>7</w:t>
      </w:r>
      <w:r w:rsidR="00522C92">
        <w:rPr>
          <w:rFonts w:eastAsia="Times New Roman"/>
          <w:szCs w:val="24"/>
          <w:lang w:eastAsia="ru-RU"/>
        </w:rPr>
        <w:t>-й</w:t>
      </w:r>
      <w:r w:rsidRPr="00E93D36">
        <w:rPr>
          <w:rFonts w:eastAsia="Times New Roman"/>
          <w:szCs w:val="24"/>
          <w:lang w:eastAsia="ru-RU"/>
        </w:rPr>
        <w:t xml:space="preserve"> </w:t>
      </w:r>
    </w:p>
    <w:p w:rsidR="000546DA" w:rsidRPr="00E93D36" w:rsidRDefault="000546DA" w:rsidP="002F2D5C">
      <w:pPr>
        <w:pStyle w:val="a5"/>
        <w:numPr>
          <w:ilvl w:val="0"/>
          <w:numId w:val="55"/>
        </w:numPr>
        <w:spacing w:before="0" w:after="0"/>
        <w:jc w:val="left"/>
        <w:rPr>
          <w:rFonts w:eastAsia="Times New Roman"/>
          <w:szCs w:val="24"/>
          <w:lang w:eastAsia="ru-RU"/>
        </w:rPr>
      </w:pPr>
      <w:r w:rsidRPr="00E93D36">
        <w:rPr>
          <w:rFonts w:eastAsia="Times New Roman"/>
          <w:szCs w:val="24"/>
          <w:lang w:eastAsia="ru-RU"/>
        </w:rPr>
        <w:t>Доксорубицин</w:t>
      </w:r>
      <w:r>
        <w:rPr>
          <w:rFonts w:eastAsia="Times New Roman"/>
          <w:szCs w:val="24"/>
          <w:lang w:eastAsia="ru-RU"/>
        </w:rPr>
        <w:t>**</w:t>
      </w:r>
      <w:r w:rsidRPr="00E93D36">
        <w:rPr>
          <w:rFonts w:eastAsia="Times New Roman"/>
          <w:szCs w:val="24"/>
          <w:lang w:eastAsia="ru-RU"/>
        </w:rPr>
        <w:t xml:space="preserve"> 10 мг/м</w:t>
      </w:r>
      <w:r w:rsidRPr="00E93D36">
        <w:rPr>
          <w:rFonts w:eastAsia="Times New Roman"/>
          <w:szCs w:val="24"/>
          <w:vertAlign w:val="superscript"/>
          <w:lang w:eastAsia="ru-RU"/>
        </w:rPr>
        <w:t>2</w:t>
      </w:r>
      <w:r w:rsidRPr="00E93D36">
        <w:rPr>
          <w:rFonts w:eastAsia="Times New Roman"/>
          <w:szCs w:val="24"/>
          <w:lang w:eastAsia="ru-RU"/>
        </w:rPr>
        <w:t xml:space="preserve"> в/в 24-часовая инфузия, дни 4</w:t>
      </w:r>
      <w:r w:rsidR="00522C92">
        <w:rPr>
          <w:rFonts w:eastAsia="Times New Roman"/>
          <w:szCs w:val="24"/>
          <w:lang w:eastAsia="ru-RU"/>
        </w:rPr>
        <w:t>‒</w:t>
      </w:r>
      <w:r w:rsidRPr="00E93D36">
        <w:rPr>
          <w:rFonts w:eastAsia="Times New Roman"/>
          <w:szCs w:val="24"/>
          <w:lang w:eastAsia="ru-RU"/>
        </w:rPr>
        <w:t xml:space="preserve">7 </w:t>
      </w:r>
      <w:r w:rsidR="00522C92">
        <w:rPr>
          <w:rFonts w:eastAsia="Times New Roman"/>
          <w:szCs w:val="24"/>
          <w:lang w:eastAsia="ru-RU"/>
        </w:rPr>
        <w:t>-й</w:t>
      </w:r>
    </w:p>
    <w:p w:rsidR="000546DA" w:rsidRPr="00E93D36" w:rsidRDefault="000546DA" w:rsidP="002F2D5C">
      <w:pPr>
        <w:pStyle w:val="a5"/>
        <w:numPr>
          <w:ilvl w:val="0"/>
          <w:numId w:val="55"/>
        </w:numPr>
        <w:spacing w:before="0" w:after="0"/>
        <w:jc w:val="left"/>
        <w:rPr>
          <w:rFonts w:eastAsia="Times New Roman"/>
          <w:szCs w:val="24"/>
          <w:lang w:eastAsia="ru-RU"/>
        </w:rPr>
      </w:pPr>
      <w:r w:rsidRPr="00E93D36">
        <w:rPr>
          <w:rFonts w:eastAsia="Times New Roman"/>
          <w:szCs w:val="24"/>
          <w:lang w:eastAsia="ru-RU"/>
        </w:rPr>
        <w:t>Циклофосфамид</w:t>
      </w:r>
      <w:r>
        <w:rPr>
          <w:rFonts w:eastAsia="Times New Roman"/>
          <w:szCs w:val="24"/>
          <w:lang w:eastAsia="ru-RU"/>
        </w:rPr>
        <w:t>**</w:t>
      </w:r>
      <w:r w:rsidRPr="00E93D36">
        <w:rPr>
          <w:rFonts w:eastAsia="Times New Roman"/>
          <w:szCs w:val="24"/>
          <w:lang w:eastAsia="ru-RU"/>
        </w:rPr>
        <w:t xml:space="preserve"> 400 мг/м</w:t>
      </w:r>
      <w:r w:rsidRPr="00E93D36">
        <w:rPr>
          <w:rFonts w:eastAsia="Times New Roman"/>
          <w:szCs w:val="24"/>
          <w:vertAlign w:val="superscript"/>
          <w:lang w:eastAsia="ru-RU"/>
        </w:rPr>
        <w:t>2</w:t>
      </w:r>
      <w:r w:rsidRPr="00E93D36">
        <w:rPr>
          <w:rFonts w:eastAsia="Times New Roman"/>
          <w:szCs w:val="24"/>
          <w:lang w:eastAsia="ru-RU"/>
        </w:rPr>
        <w:t xml:space="preserve"> в/в 24-часовая инфузия, дни 4-7</w:t>
      </w:r>
    </w:p>
    <w:p w:rsidR="000546DA" w:rsidRPr="00E93D36" w:rsidRDefault="000546DA" w:rsidP="002F2D5C">
      <w:pPr>
        <w:pStyle w:val="a5"/>
        <w:numPr>
          <w:ilvl w:val="0"/>
          <w:numId w:val="55"/>
        </w:numPr>
        <w:spacing w:before="0" w:after="0"/>
        <w:jc w:val="left"/>
        <w:rPr>
          <w:rFonts w:eastAsia="Times New Roman"/>
          <w:szCs w:val="24"/>
          <w:lang w:eastAsia="ru-RU"/>
        </w:rPr>
      </w:pPr>
      <w:r w:rsidRPr="00FE3314">
        <w:rPr>
          <w:rFonts w:eastAsia="Times New Roman"/>
          <w:szCs w:val="24"/>
          <w:lang w:eastAsia="ru-RU"/>
        </w:rPr>
        <w:t>#</w:t>
      </w:r>
      <w:r w:rsidRPr="00E93D36">
        <w:rPr>
          <w:rFonts w:eastAsia="Times New Roman"/>
          <w:szCs w:val="24"/>
          <w:lang w:eastAsia="ru-RU"/>
        </w:rPr>
        <w:t>Этопозид</w:t>
      </w:r>
      <w:r>
        <w:rPr>
          <w:rFonts w:eastAsia="Times New Roman"/>
          <w:szCs w:val="24"/>
          <w:lang w:eastAsia="ru-RU"/>
        </w:rPr>
        <w:t>**</w:t>
      </w:r>
      <w:r w:rsidRPr="00E93D36">
        <w:rPr>
          <w:rFonts w:eastAsia="Times New Roman"/>
          <w:szCs w:val="24"/>
          <w:lang w:eastAsia="ru-RU"/>
        </w:rPr>
        <w:t xml:space="preserve"> 40 мг/м</w:t>
      </w:r>
      <w:r w:rsidRPr="00E93D36">
        <w:rPr>
          <w:rFonts w:eastAsia="Times New Roman"/>
          <w:szCs w:val="24"/>
          <w:vertAlign w:val="superscript"/>
          <w:lang w:eastAsia="ru-RU"/>
        </w:rPr>
        <w:t>2</w:t>
      </w:r>
      <w:r w:rsidRPr="00E93D36">
        <w:rPr>
          <w:rFonts w:eastAsia="Times New Roman"/>
          <w:szCs w:val="24"/>
          <w:lang w:eastAsia="ru-RU"/>
        </w:rPr>
        <w:t xml:space="preserve"> в/в 24-часовая инфузия, дни 4</w:t>
      </w:r>
      <w:r w:rsidR="001E1461">
        <w:rPr>
          <w:rFonts w:eastAsia="Times New Roman"/>
          <w:szCs w:val="24"/>
          <w:lang w:eastAsia="ru-RU"/>
        </w:rPr>
        <w:t>‒</w:t>
      </w:r>
      <w:r w:rsidRPr="00E93D36">
        <w:rPr>
          <w:rFonts w:eastAsia="Times New Roman"/>
          <w:szCs w:val="24"/>
          <w:lang w:eastAsia="ru-RU"/>
        </w:rPr>
        <w:t>7</w:t>
      </w:r>
      <w:r w:rsidR="001E1461">
        <w:rPr>
          <w:rFonts w:eastAsia="Times New Roman"/>
          <w:szCs w:val="24"/>
          <w:lang w:eastAsia="ru-RU"/>
        </w:rPr>
        <w:t>-й</w:t>
      </w:r>
    </w:p>
    <w:p w:rsidR="000546DA" w:rsidRPr="00E93D36" w:rsidRDefault="00221B7B" w:rsidP="002F2D5C">
      <w:pPr>
        <w:pStyle w:val="a5"/>
        <w:numPr>
          <w:ilvl w:val="0"/>
          <w:numId w:val="55"/>
        </w:numPr>
        <w:spacing w:before="0" w:after="0"/>
        <w:jc w:val="left"/>
        <w:rPr>
          <w:rFonts w:eastAsia="Times New Roman"/>
          <w:szCs w:val="24"/>
          <w:lang w:eastAsia="ru-RU"/>
        </w:rPr>
      </w:pPr>
      <w:r w:rsidRPr="00971A8A">
        <w:rPr>
          <w:rFonts w:eastAsia="Times New Roman"/>
          <w:szCs w:val="24"/>
          <w:lang w:eastAsia="ru-RU"/>
        </w:rPr>
        <w:t>#</w:t>
      </w:r>
      <w:r w:rsidR="000546DA" w:rsidRPr="00E93D36">
        <w:rPr>
          <w:rFonts w:eastAsia="Times New Roman"/>
          <w:szCs w:val="24"/>
          <w:lang w:eastAsia="ru-RU"/>
        </w:rPr>
        <w:t xml:space="preserve">Г-КСФ при снижении числа лейкоцитов </w:t>
      </w:r>
      <w:r w:rsidR="001E1461" w:rsidRPr="000B4176">
        <w:rPr>
          <w:rFonts w:eastAsia="Times New Roman"/>
          <w:szCs w:val="24"/>
          <w:lang w:eastAsia="ru-RU"/>
        </w:rPr>
        <w:t>&lt;</w:t>
      </w:r>
      <w:r w:rsidR="000546DA" w:rsidRPr="00E93D36">
        <w:rPr>
          <w:rFonts w:eastAsia="Times New Roman"/>
          <w:szCs w:val="24"/>
          <w:lang w:eastAsia="ru-RU"/>
        </w:rPr>
        <w:t xml:space="preserve">1 </w:t>
      </w:r>
      <w:r w:rsidR="001E1461">
        <w:rPr>
          <w:rFonts w:eastAsia="Times New Roman"/>
          <w:szCs w:val="24"/>
          <w:lang w:eastAsia="ru-RU"/>
        </w:rPr>
        <w:t>×</w:t>
      </w:r>
      <w:r w:rsidR="001E1461" w:rsidRPr="000B4176">
        <w:rPr>
          <w:rFonts w:eastAsia="Times New Roman"/>
          <w:szCs w:val="24"/>
          <w:lang w:eastAsia="ru-RU"/>
        </w:rPr>
        <w:t xml:space="preserve"> </w:t>
      </w:r>
      <w:r w:rsidR="000546DA" w:rsidRPr="00E93D36">
        <w:rPr>
          <w:rFonts w:eastAsia="Times New Roman"/>
          <w:szCs w:val="24"/>
          <w:lang w:eastAsia="ru-RU"/>
        </w:rPr>
        <w:t>10</w:t>
      </w:r>
      <w:r w:rsidR="000546DA" w:rsidRPr="00E93D36">
        <w:rPr>
          <w:rFonts w:eastAsia="Times New Roman"/>
          <w:szCs w:val="24"/>
          <w:vertAlign w:val="superscript"/>
          <w:lang w:eastAsia="ru-RU"/>
        </w:rPr>
        <w:t>9</w:t>
      </w:r>
      <w:r w:rsidR="000546DA" w:rsidRPr="00E93D36">
        <w:rPr>
          <w:rFonts w:eastAsia="Times New Roman"/>
          <w:szCs w:val="24"/>
          <w:lang w:eastAsia="ru-RU"/>
        </w:rPr>
        <w:t>/л до восстановления уровня нейтрофилов</w:t>
      </w:r>
    </w:p>
    <w:p w:rsidR="000546DA" w:rsidRPr="001E1461"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при полном восстановлении показателей крови на 29</w:t>
      </w:r>
      <w:r w:rsidR="001E1461" w:rsidRPr="000B4176">
        <w:rPr>
          <w:rFonts w:eastAsia="Times New Roman"/>
          <w:szCs w:val="24"/>
          <w:lang w:eastAsia="ru-RU"/>
        </w:rPr>
        <w:t>‒</w:t>
      </w:r>
      <w:r w:rsidRPr="00C37E76">
        <w:rPr>
          <w:rFonts w:eastAsia="Times New Roman"/>
          <w:szCs w:val="24"/>
          <w:lang w:eastAsia="ru-RU"/>
        </w:rPr>
        <w:t>36</w:t>
      </w:r>
      <w:r w:rsidR="001E1461">
        <w:rPr>
          <w:rFonts w:eastAsia="Times New Roman"/>
          <w:szCs w:val="24"/>
          <w:lang w:eastAsia="ru-RU"/>
        </w:rPr>
        <w:t>-й</w:t>
      </w:r>
      <w:r w:rsidRPr="00C37E76">
        <w:rPr>
          <w:rFonts w:eastAsia="Times New Roman"/>
          <w:szCs w:val="24"/>
          <w:lang w:eastAsia="ru-RU"/>
        </w:rPr>
        <w:t xml:space="preserve"> дни</w:t>
      </w:r>
      <w:r w:rsidR="001E1461">
        <w:rPr>
          <w:rFonts w:eastAsia="Times New Roman"/>
          <w:szCs w:val="24"/>
          <w:lang w:eastAsia="ru-RU"/>
        </w:rPr>
        <w:t>.</w:t>
      </w:r>
    </w:p>
    <w:p w:rsidR="000546DA" w:rsidRPr="00CC2E22" w:rsidRDefault="000546DA" w:rsidP="00131E36">
      <w:pPr>
        <w:spacing w:before="0" w:after="0"/>
        <w:rPr>
          <w:rFonts w:eastAsia="Times New Roman"/>
          <w:lang w:eastAsia="ru-RU"/>
        </w:rPr>
      </w:pPr>
    </w:p>
    <w:p w:rsidR="000546DA" w:rsidRPr="00E36DFA" w:rsidRDefault="000546DA" w:rsidP="00E36DFA">
      <w:pPr>
        <w:pStyle w:val="2"/>
        <w:rPr>
          <w:rStyle w:val="ab"/>
          <w:rFonts w:eastAsia="Calibri"/>
          <w:b/>
        </w:rPr>
      </w:pPr>
      <w:bookmarkStart w:id="64" w:name="_Toc2607873"/>
      <w:bookmarkStart w:id="65" w:name="_Toc24826835"/>
      <w:bookmarkEnd w:id="62"/>
      <w:r w:rsidRPr="008654BE">
        <w:rPr>
          <w:rStyle w:val="ab"/>
          <w:b/>
        </w:rPr>
        <w:lastRenderedPageBreak/>
        <w:t xml:space="preserve">Приложение </w:t>
      </w:r>
      <w:r w:rsidR="003F3D12" w:rsidRPr="00E36DFA">
        <w:rPr>
          <w:rStyle w:val="ab"/>
          <w:b/>
        </w:rPr>
        <w:t xml:space="preserve">А3.2. </w:t>
      </w:r>
      <w:bookmarkEnd w:id="64"/>
      <w:r w:rsidRPr="00E36DFA">
        <w:rPr>
          <w:rStyle w:val="ab"/>
          <w:b/>
        </w:rPr>
        <w:t>Рекомендации по коррекции дозы леналидомида в зависимости от клиренса креатинина</w:t>
      </w:r>
      <w:bookmarkEnd w:id="65"/>
    </w:p>
    <w:p w:rsidR="000B7FA3" w:rsidRPr="000B7FA3" w:rsidRDefault="000B7FA3" w:rsidP="000B7FA3"/>
    <w:tbl>
      <w:tblPr>
        <w:tblW w:w="0" w:type="auto"/>
        <w:tblLayout w:type="fixed"/>
        <w:tblLook w:val="0000" w:firstRow="0" w:lastRow="0" w:firstColumn="0" w:lastColumn="0" w:noHBand="0" w:noVBand="0"/>
      </w:tblPr>
      <w:tblGrid>
        <w:gridCol w:w="4839"/>
        <w:gridCol w:w="4660"/>
      </w:tblGrid>
      <w:tr w:rsidR="000546DA" w:rsidRPr="00890289" w:rsidTr="00E36DFA">
        <w:tc>
          <w:tcPr>
            <w:tcW w:w="4839" w:type="dxa"/>
            <w:tcBorders>
              <w:top w:val="single" w:sz="4" w:space="0" w:color="000000"/>
              <w:left w:val="single" w:sz="4" w:space="0" w:color="000000"/>
              <w:bottom w:val="single" w:sz="4" w:space="0" w:color="000000"/>
            </w:tcBorders>
            <w:shd w:val="clear" w:color="auto" w:fill="auto"/>
          </w:tcPr>
          <w:p w:rsidR="000546DA" w:rsidRPr="00890289" w:rsidRDefault="000546DA" w:rsidP="00131E36">
            <w:pPr>
              <w:tabs>
                <w:tab w:val="left" w:pos="0"/>
              </w:tabs>
              <w:snapToGrid w:val="0"/>
              <w:spacing w:before="0" w:after="0"/>
              <w:ind w:left="284"/>
              <w:rPr>
                <w:rFonts w:eastAsia="Times New Roman"/>
                <w:b/>
              </w:rPr>
            </w:pPr>
            <w:r w:rsidRPr="00890289">
              <w:rPr>
                <w:rFonts w:eastAsia="Times New Roman"/>
                <w:b/>
              </w:rPr>
              <w:t>Клиренс креатинина (КК), мл/мин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546DA" w:rsidRPr="00D62DF3" w:rsidRDefault="000546DA" w:rsidP="00131E36">
            <w:pPr>
              <w:tabs>
                <w:tab w:val="left" w:pos="0"/>
              </w:tabs>
              <w:snapToGrid w:val="0"/>
              <w:spacing w:before="0" w:after="0"/>
              <w:ind w:left="284"/>
              <w:rPr>
                <w:rFonts w:eastAsia="Times New Roman"/>
                <w:u w:val="single"/>
              </w:rPr>
            </w:pPr>
            <w:r w:rsidRPr="00890289">
              <w:rPr>
                <w:rFonts w:eastAsia="Times New Roman"/>
                <w:b/>
              </w:rPr>
              <w:t>Доза леналидомида</w:t>
            </w:r>
            <w:r w:rsidRPr="00D62DF3">
              <w:rPr>
                <w:rFonts w:eastAsia="Times New Roman"/>
                <w:b/>
              </w:rPr>
              <w:t>**</w:t>
            </w:r>
          </w:p>
        </w:tc>
      </w:tr>
      <w:tr w:rsidR="000546DA" w:rsidRPr="00890289" w:rsidTr="00E36DFA">
        <w:tc>
          <w:tcPr>
            <w:tcW w:w="4839" w:type="dxa"/>
            <w:tcBorders>
              <w:top w:val="single" w:sz="4" w:space="0" w:color="000000"/>
              <w:left w:val="single" w:sz="4" w:space="0" w:color="000000"/>
              <w:bottom w:val="single" w:sz="4" w:space="0" w:color="000000"/>
            </w:tcBorders>
            <w:shd w:val="clear" w:color="auto" w:fill="auto"/>
          </w:tcPr>
          <w:p w:rsidR="000546DA" w:rsidRPr="00890289" w:rsidRDefault="000546DA" w:rsidP="00131E36">
            <w:pPr>
              <w:tabs>
                <w:tab w:val="left" w:pos="0"/>
              </w:tabs>
              <w:snapToGrid w:val="0"/>
              <w:spacing w:before="0" w:after="0"/>
              <w:ind w:left="284"/>
              <w:rPr>
                <w:rFonts w:eastAsia="Times New Roman"/>
              </w:rPr>
            </w:pPr>
            <w:r w:rsidRPr="00D62DF3">
              <w:rPr>
                <w:rFonts w:eastAsia="Times New Roman" w:cs="Calibri"/>
              </w:rPr>
              <w:t>≥</w:t>
            </w:r>
            <w:r w:rsidRPr="00D62DF3">
              <w:rPr>
                <w:rFonts w:eastAsia="Times New Roman"/>
              </w:rPr>
              <w:t xml:space="preserve">50 </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546DA" w:rsidRPr="00890289" w:rsidRDefault="000546DA" w:rsidP="00131E36">
            <w:pPr>
              <w:tabs>
                <w:tab w:val="left" w:pos="0"/>
              </w:tabs>
              <w:snapToGrid w:val="0"/>
              <w:spacing w:before="0" w:after="0"/>
              <w:ind w:left="284"/>
              <w:rPr>
                <w:rFonts w:eastAsia="Times New Roman"/>
              </w:rPr>
            </w:pPr>
            <w:r w:rsidRPr="00890289">
              <w:rPr>
                <w:rFonts w:eastAsia="Times New Roman"/>
              </w:rPr>
              <w:t>25 мг 1 раз в день</w:t>
            </w:r>
          </w:p>
        </w:tc>
      </w:tr>
      <w:tr w:rsidR="000546DA" w:rsidRPr="00890289" w:rsidTr="00E36DFA">
        <w:tc>
          <w:tcPr>
            <w:tcW w:w="4839" w:type="dxa"/>
            <w:tcBorders>
              <w:top w:val="single" w:sz="4" w:space="0" w:color="000000"/>
              <w:left w:val="single" w:sz="4" w:space="0" w:color="000000"/>
              <w:bottom w:val="single" w:sz="4" w:space="0" w:color="000000"/>
            </w:tcBorders>
            <w:shd w:val="clear" w:color="auto" w:fill="auto"/>
          </w:tcPr>
          <w:p w:rsidR="000546DA" w:rsidRPr="00890289" w:rsidRDefault="000546DA" w:rsidP="00131E36">
            <w:pPr>
              <w:tabs>
                <w:tab w:val="left" w:pos="0"/>
              </w:tabs>
              <w:snapToGrid w:val="0"/>
              <w:spacing w:before="0" w:after="0"/>
              <w:ind w:left="284"/>
              <w:rPr>
                <w:rFonts w:eastAsia="Times New Roman"/>
              </w:rPr>
            </w:pPr>
            <w:r w:rsidRPr="00890289">
              <w:rPr>
                <w:rFonts w:eastAsia="Times New Roman"/>
              </w:rPr>
              <w:t xml:space="preserve">30 </w:t>
            </w:r>
            <w:r w:rsidRPr="0038759D">
              <w:rPr>
                <w:rFonts w:eastAsia="Times New Roman" w:cs="Calibri"/>
              </w:rPr>
              <w:t>≤</w:t>
            </w:r>
            <w:r w:rsidRPr="00890289">
              <w:rPr>
                <w:rFonts w:eastAsia="Times New Roman"/>
              </w:rPr>
              <w:t>КК</w:t>
            </w:r>
            <w:r w:rsidR="00974BA6" w:rsidRPr="00890289">
              <w:rPr>
                <w:rFonts w:eastAsia="Times New Roman"/>
              </w:rPr>
              <w:t xml:space="preserve"> </w:t>
            </w:r>
            <w:r w:rsidRPr="00890289">
              <w:rPr>
                <w:rFonts w:eastAsia="Times New Roman"/>
              </w:rPr>
              <w:t>&lt;50</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546DA" w:rsidRPr="00890289" w:rsidRDefault="000546DA" w:rsidP="00131E36">
            <w:pPr>
              <w:tabs>
                <w:tab w:val="left" w:pos="0"/>
              </w:tabs>
              <w:snapToGrid w:val="0"/>
              <w:spacing w:before="0" w:after="0"/>
              <w:ind w:left="284"/>
              <w:rPr>
                <w:rFonts w:eastAsia="Times New Roman"/>
              </w:rPr>
            </w:pPr>
            <w:r w:rsidRPr="00890289">
              <w:rPr>
                <w:rFonts w:eastAsia="Times New Roman"/>
              </w:rPr>
              <w:t>10 мг 1 раз в день</w:t>
            </w:r>
          </w:p>
        </w:tc>
      </w:tr>
      <w:tr w:rsidR="000546DA" w:rsidRPr="00890289" w:rsidTr="00E36DFA">
        <w:tc>
          <w:tcPr>
            <w:tcW w:w="4839" w:type="dxa"/>
            <w:tcBorders>
              <w:top w:val="single" w:sz="4" w:space="0" w:color="000000"/>
              <w:left w:val="single" w:sz="4" w:space="0" w:color="000000"/>
              <w:bottom w:val="single" w:sz="4" w:space="0" w:color="000000"/>
            </w:tcBorders>
            <w:shd w:val="clear" w:color="auto" w:fill="auto"/>
          </w:tcPr>
          <w:p w:rsidR="000546DA" w:rsidRPr="00890289" w:rsidRDefault="000546DA" w:rsidP="00131E36">
            <w:pPr>
              <w:tabs>
                <w:tab w:val="left" w:pos="0"/>
              </w:tabs>
              <w:snapToGrid w:val="0"/>
              <w:spacing w:before="0" w:after="0"/>
              <w:ind w:left="284"/>
              <w:rPr>
                <w:rFonts w:eastAsia="Times New Roman"/>
              </w:rPr>
            </w:pPr>
            <w:r w:rsidRPr="00890289">
              <w:rPr>
                <w:rFonts w:eastAsia="Times New Roman"/>
              </w:rPr>
              <w:t xml:space="preserve">КК </w:t>
            </w:r>
            <w:r w:rsidRPr="00D62DF3">
              <w:rPr>
                <w:rFonts w:eastAsia="Times New Roman"/>
              </w:rPr>
              <w:t>&lt;30</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546DA" w:rsidRPr="00890289" w:rsidRDefault="000546DA" w:rsidP="00131E36">
            <w:pPr>
              <w:tabs>
                <w:tab w:val="left" w:pos="0"/>
              </w:tabs>
              <w:snapToGrid w:val="0"/>
              <w:spacing w:before="0" w:after="0"/>
              <w:ind w:left="284"/>
              <w:rPr>
                <w:rFonts w:eastAsia="Times New Roman"/>
              </w:rPr>
            </w:pPr>
            <w:r w:rsidRPr="00890289">
              <w:rPr>
                <w:rFonts w:eastAsia="Times New Roman"/>
              </w:rPr>
              <w:t>15 мг через день</w:t>
            </w:r>
          </w:p>
        </w:tc>
      </w:tr>
      <w:tr w:rsidR="000546DA" w:rsidRPr="00890289" w:rsidTr="00E36DFA">
        <w:tc>
          <w:tcPr>
            <w:tcW w:w="4839" w:type="dxa"/>
            <w:tcBorders>
              <w:top w:val="single" w:sz="4" w:space="0" w:color="000000"/>
              <w:left w:val="single" w:sz="4" w:space="0" w:color="000000"/>
              <w:bottom w:val="single" w:sz="4" w:space="0" w:color="000000"/>
            </w:tcBorders>
            <w:shd w:val="clear" w:color="auto" w:fill="auto"/>
          </w:tcPr>
          <w:p w:rsidR="000546DA" w:rsidRPr="00890289" w:rsidRDefault="000546DA" w:rsidP="00131E36">
            <w:pPr>
              <w:tabs>
                <w:tab w:val="left" w:pos="0"/>
              </w:tabs>
              <w:snapToGrid w:val="0"/>
              <w:spacing w:before="0" w:after="0"/>
              <w:ind w:left="284"/>
              <w:rPr>
                <w:rFonts w:eastAsia="Times New Roman"/>
                <w:shd w:val="clear" w:color="auto" w:fill="FFFF00"/>
              </w:rPr>
            </w:pPr>
            <w:r w:rsidRPr="00890289">
              <w:rPr>
                <w:rFonts w:eastAsia="Times New Roman"/>
              </w:rPr>
              <w:t>КК &lt;15 (требуется гемодиализ)</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546DA" w:rsidRPr="00890289" w:rsidRDefault="000546DA" w:rsidP="00131E36">
            <w:pPr>
              <w:tabs>
                <w:tab w:val="left" w:pos="0"/>
                <w:tab w:val="left" w:pos="900"/>
              </w:tabs>
              <w:spacing w:before="0" w:after="0"/>
              <w:ind w:left="284"/>
              <w:jc w:val="left"/>
            </w:pPr>
            <w:r w:rsidRPr="00890289">
              <w:rPr>
                <w:rFonts w:eastAsia="Times New Roman"/>
              </w:rPr>
              <w:t>5 мг 1 раз в день (в дни гемодиализа после процедуры гемодиализа)</w:t>
            </w:r>
          </w:p>
        </w:tc>
      </w:tr>
    </w:tbl>
    <w:p w:rsidR="000546DA" w:rsidRDefault="000546DA" w:rsidP="00131E36">
      <w:pPr>
        <w:spacing w:before="0" w:after="0"/>
        <w:rPr>
          <w:rFonts w:eastAsia="Times New Roman"/>
          <w:b/>
          <w:lang w:eastAsia="ru-RU"/>
        </w:rPr>
      </w:pPr>
    </w:p>
    <w:p w:rsidR="000546DA" w:rsidRDefault="000546DA" w:rsidP="00131E36">
      <w:pPr>
        <w:spacing w:before="0" w:after="0"/>
        <w:rPr>
          <w:rFonts w:eastAsia="Times New Roman"/>
          <w:b/>
          <w:lang w:eastAsia="ru-RU"/>
        </w:rPr>
      </w:pPr>
    </w:p>
    <w:p w:rsidR="000546DA" w:rsidRDefault="000546DA" w:rsidP="00131E36">
      <w:pPr>
        <w:spacing w:before="0" w:after="0"/>
        <w:rPr>
          <w:rFonts w:eastAsia="Times New Roman"/>
          <w:b/>
          <w:lang w:eastAsia="ru-RU"/>
        </w:rPr>
      </w:pPr>
    </w:p>
    <w:p w:rsidR="000546DA" w:rsidRDefault="000546DA" w:rsidP="00131E36">
      <w:pPr>
        <w:spacing w:before="0" w:after="0"/>
        <w:rPr>
          <w:rFonts w:eastAsia="Times New Roman"/>
          <w:b/>
          <w:lang w:eastAsia="ru-RU"/>
        </w:rPr>
      </w:pPr>
    </w:p>
    <w:p w:rsidR="000546DA" w:rsidRDefault="000546DA" w:rsidP="00131E36">
      <w:pPr>
        <w:spacing w:before="0" w:after="0"/>
        <w:rPr>
          <w:rFonts w:eastAsia="Times New Roman"/>
          <w:b/>
          <w:lang w:eastAsia="ru-RU"/>
        </w:rPr>
      </w:pPr>
    </w:p>
    <w:p w:rsidR="000546DA" w:rsidRDefault="000546DA" w:rsidP="00131E36">
      <w:pPr>
        <w:spacing w:before="0" w:after="0"/>
        <w:rPr>
          <w:rFonts w:eastAsia="Times New Roman"/>
          <w:b/>
          <w:lang w:eastAsia="ru-RU"/>
        </w:rPr>
      </w:pPr>
    </w:p>
    <w:p w:rsidR="000546DA" w:rsidRPr="000546DA" w:rsidRDefault="000546DA" w:rsidP="00131E36">
      <w:pPr>
        <w:spacing w:before="0" w:after="0"/>
      </w:pPr>
    </w:p>
    <w:p w:rsidR="004D7374" w:rsidRPr="00E36DFA" w:rsidRDefault="004D7374" w:rsidP="00E36DFA">
      <w:pPr>
        <w:pStyle w:val="1"/>
      </w:pPr>
      <w:bookmarkStart w:id="66" w:name="_Toc520213132"/>
      <w:bookmarkStart w:id="67" w:name="_Toc24826836"/>
      <w:r w:rsidRPr="00E36DFA">
        <w:lastRenderedPageBreak/>
        <w:t>Приложение Б. Алгоритмы ведения пациента</w:t>
      </w:r>
      <w:bookmarkEnd w:id="66"/>
      <w:bookmarkEnd w:id="67"/>
    </w:p>
    <w:p w:rsidR="00485E4B" w:rsidRPr="00E36DFA" w:rsidRDefault="00844A2E" w:rsidP="00131E36">
      <w:pPr>
        <w:spacing w:before="0" w:after="0"/>
        <w:rPr>
          <w:b/>
          <w:u w:val="single"/>
        </w:rPr>
      </w:pPr>
      <w:r w:rsidRPr="00E36DFA">
        <w:rPr>
          <w:b/>
          <w:u w:val="single"/>
        </w:rPr>
        <w:t>Алгоритм проведения индукционной терапии</w:t>
      </w:r>
    </w:p>
    <w:p w:rsidR="00533A63" w:rsidRDefault="005F1CB4" w:rsidP="00131E36">
      <w:pPr>
        <w:spacing w:before="0" w:after="0"/>
      </w:pPr>
      <w:r>
        <w:rPr>
          <w:noProof/>
          <w:lang w:eastAsia="ru-RU"/>
        </w:rPr>
        <w:drawing>
          <wp:inline distT="0" distB="0" distL="0" distR="0" wp14:anchorId="092A71B7" wp14:editId="3C592DC8">
            <wp:extent cx="5940425" cy="5750560"/>
            <wp:effectExtent l="0" t="0" r="3175" b="2540"/>
            <wp:docPr id="82" name="Рисунок 82" descr="Изображение выглядит как текст,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ММ первая линия.jpg"/>
                    <pic:cNvPicPr/>
                  </pic:nvPicPr>
                  <pic:blipFill>
                    <a:blip r:embed="rId9">
                      <a:extLst>
                        <a:ext uri="{28A0092B-C50C-407E-A947-70E740481C1C}">
                          <a14:useLocalDpi xmlns:a14="http://schemas.microsoft.com/office/drawing/2010/main" val="0"/>
                        </a:ext>
                      </a:extLst>
                    </a:blip>
                    <a:stretch>
                      <a:fillRect/>
                    </a:stretch>
                  </pic:blipFill>
                  <pic:spPr>
                    <a:xfrm>
                      <a:off x="0" y="0"/>
                      <a:ext cx="5940425" cy="5750560"/>
                    </a:xfrm>
                    <a:prstGeom prst="rect">
                      <a:avLst/>
                    </a:prstGeom>
                  </pic:spPr>
                </pic:pic>
              </a:graphicData>
            </a:graphic>
          </wp:inline>
        </w:drawing>
      </w:r>
    </w:p>
    <w:p w:rsidR="005F1CB4" w:rsidRDefault="005F1CB4" w:rsidP="00131E36">
      <w:pPr>
        <w:spacing w:before="0" w:after="0"/>
      </w:pPr>
    </w:p>
    <w:p w:rsidR="009773F3" w:rsidRDefault="009773F3" w:rsidP="00971A8A">
      <w:pPr>
        <w:spacing w:before="0" w:after="0"/>
        <w:rPr>
          <w:b/>
        </w:rPr>
      </w:pPr>
      <w:bookmarkStart w:id="68" w:name="_Toc520213133"/>
    </w:p>
    <w:p w:rsidR="009773F3" w:rsidRDefault="009773F3" w:rsidP="00533A63">
      <w:pPr>
        <w:spacing w:before="0" w:after="0"/>
        <w:jc w:val="center"/>
        <w:rPr>
          <w:b/>
        </w:rPr>
      </w:pPr>
    </w:p>
    <w:p w:rsidR="003D7E72" w:rsidRPr="00E36DFA" w:rsidRDefault="003D7E72" w:rsidP="00E36DFA">
      <w:pPr>
        <w:spacing w:before="0" w:after="0"/>
        <w:rPr>
          <w:b/>
          <w:u w:val="single"/>
        </w:rPr>
      </w:pPr>
      <w:r w:rsidRPr="00E36DFA">
        <w:rPr>
          <w:b/>
          <w:u w:val="single"/>
        </w:rPr>
        <w:t>Алгоритм лечения рецидива ММ</w:t>
      </w:r>
    </w:p>
    <w:p w:rsidR="00971A8A" w:rsidRPr="005F1CB4" w:rsidRDefault="00971A8A" w:rsidP="00971A8A">
      <w:pPr>
        <w:spacing w:before="0" w:after="0"/>
        <w:rPr>
          <w:b/>
          <w:bCs/>
        </w:rPr>
      </w:pPr>
      <w:r>
        <w:rPr>
          <w:b/>
          <w:bCs/>
          <w:noProof/>
          <w:lang w:eastAsia="ru-RU"/>
        </w:rPr>
        <w:lastRenderedPageBreak/>
        <w:drawing>
          <wp:inline distT="0" distB="0" distL="0" distR="0" wp14:anchorId="443E2341" wp14:editId="1EDB4709">
            <wp:extent cx="4457700" cy="4445000"/>
            <wp:effectExtent l="0" t="0" r="0" b="0"/>
            <wp:docPr id="83" name="Рисунок 83" descr="Изображение выглядит как текст,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ММ - рецидив.jpg"/>
                    <pic:cNvPicPr/>
                  </pic:nvPicPr>
                  <pic:blipFill>
                    <a:blip r:embed="rId10">
                      <a:extLst>
                        <a:ext uri="{28A0092B-C50C-407E-A947-70E740481C1C}">
                          <a14:useLocalDpi xmlns:a14="http://schemas.microsoft.com/office/drawing/2010/main" val="0"/>
                        </a:ext>
                      </a:extLst>
                    </a:blip>
                    <a:stretch>
                      <a:fillRect/>
                    </a:stretch>
                  </pic:blipFill>
                  <pic:spPr>
                    <a:xfrm>
                      <a:off x="0" y="0"/>
                      <a:ext cx="4457700" cy="4445000"/>
                    </a:xfrm>
                    <a:prstGeom prst="rect">
                      <a:avLst/>
                    </a:prstGeom>
                  </pic:spPr>
                </pic:pic>
              </a:graphicData>
            </a:graphic>
          </wp:inline>
        </w:drawing>
      </w:r>
    </w:p>
    <w:p w:rsidR="004D7374" w:rsidRPr="00E36DFA" w:rsidRDefault="004D7374" w:rsidP="00E36DFA">
      <w:pPr>
        <w:pStyle w:val="1"/>
      </w:pPr>
      <w:bookmarkStart w:id="69" w:name="_Toc24826837"/>
      <w:r w:rsidRPr="00E36DFA">
        <w:lastRenderedPageBreak/>
        <w:t>Приложение В. Информация для пациентов</w:t>
      </w:r>
      <w:bookmarkEnd w:id="68"/>
      <w:bookmarkEnd w:id="69"/>
    </w:p>
    <w:p w:rsidR="00D20B9A" w:rsidRDefault="00D20B9A" w:rsidP="00131E36">
      <w:pPr>
        <w:spacing w:before="0" w:after="0"/>
        <w:ind w:firstLine="709"/>
      </w:pPr>
      <w:r>
        <w:t>ММ – заболевание опухолевой природы и в настоящее время является неизлечимым. Однако современные инновационные лекарственные препараты и трансплантационные методики позволяют достичь значимого противоопухолевого эффекта так называемой ремиссии.</w:t>
      </w:r>
    </w:p>
    <w:p w:rsidR="00D20B9A" w:rsidRDefault="00D20B9A" w:rsidP="00131E36">
      <w:pPr>
        <w:spacing w:before="0" w:after="0"/>
        <w:ind w:firstLine="709"/>
      </w:pPr>
      <w:r>
        <w:t>Ремиссия – это состояние, при котором минимизирована опухолевая масса, купированы основные клинические проявления заболевания (костные боли, почечная недостаточность, инфекционные осложнения). Современные лечебные мероприятия, включающие препараты биологического механизма действия, традиционные химиотерапевтические препараты обеспечивают длительный контроль за опухолевым процессом, сохраняя качество жизни пациентов.</w:t>
      </w:r>
    </w:p>
    <w:p w:rsidR="00D20B9A" w:rsidRDefault="00D20B9A" w:rsidP="00131E36">
      <w:pPr>
        <w:spacing w:before="0" w:after="0"/>
        <w:ind w:firstLine="709"/>
      </w:pPr>
      <w:r>
        <w:t>Лечение ММ длительное. Первичная терапия в большинстве случаев проводится в стационарных условиях. По мере купирования клинических симптомов продолжение лечения возможно в условиях дневных стационаров или амбулаторно-поликлинических и даже домашних условиях.</w:t>
      </w:r>
    </w:p>
    <w:p w:rsidR="00D20B9A" w:rsidRDefault="00D20B9A" w:rsidP="00131E36">
      <w:pPr>
        <w:spacing w:before="0" w:after="0"/>
        <w:ind w:firstLine="709"/>
      </w:pPr>
      <w:r>
        <w:t>Однако хорошо известно, что лекарственные препараты обладают побочными эффектами. В связи с этим пациенты должны сразу сообщать лечащему врачу о</w:t>
      </w:r>
      <w:r w:rsidR="00974BA6">
        <w:t>бо</w:t>
      </w:r>
      <w:r>
        <w:t xml:space="preserve"> всех нежелательных явлениях, возникающих на фоне лечения.</w:t>
      </w:r>
    </w:p>
    <w:p w:rsidR="004D7374" w:rsidRDefault="004D7374" w:rsidP="00131E36">
      <w:pPr>
        <w:spacing w:before="0" w:after="0"/>
        <w:ind w:firstLine="709"/>
      </w:pPr>
    </w:p>
    <w:p w:rsidR="00E93D36" w:rsidRDefault="00E93D36" w:rsidP="00131E36">
      <w:pPr>
        <w:spacing w:before="0" w:after="0"/>
        <w:ind w:firstLine="709"/>
      </w:pPr>
    </w:p>
    <w:p w:rsidR="00E93D36" w:rsidRDefault="00E93D36" w:rsidP="00131E36">
      <w:pPr>
        <w:spacing w:before="0" w:after="0"/>
        <w:ind w:firstLine="709"/>
      </w:pPr>
    </w:p>
    <w:p w:rsidR="00E93D36" w:rsidRDefault="00E93D36" w:rsidP="00131E36">
      <w:pPr>
        <w:spacing w:before="0" w:after="0"/>
        <w:ind w:firstLine="709"/>
      </w:pPr>
    </w:p>
    <w:p w:rsidR="00E93D36" w:rsidRDefault="00E93D36" w:rsidP="00131E36">
      <w:pPr>
        <w:spacing w:before="0" w:after="0"/>
        <w:ind w:firstLine="709"/>
      </w:pPr>
    </w:p>
    <w:p w:rsidR="00E93D36" w:rsidRDefault="00E93D36" w:rsidP="00131E36">
      <w:pPr>
        <w:spacing w:before="0" w:after="0"/>
        <w:ind w:firstLine="709"/>
      </w:pPr>
    </w:p>
    <w:p w:rsidR="00E93D36" w:rsidRDefault="00E93D36" w:rsidP="00131E36">
      <w:pPr>
        <w:spacing w:before="0" w:after="0"/>
        <w:ind w:firstLine="709"/>
      </w:pPr>
    </w:p>
    <w:p w:rsidR="00E93D36" w:rsidRDefault="00E93D36" w:rsidP="00131E36">
      <w:pPr>
        <w:spacing w:before="0" w:after="0"/>
        <w:ind w:firstLine="709"/>
      </w:pPr>
    </w:p>
    <w:p w:rsidR="00E93D36" w:rsidRPr="00E36DFA" w:rsidRDefault="00EE0660" w:rsidP="00A56060">
      <w:pPr>
        <w:pStyle w:val="1"/>
        <w:rPr>
          <w:rStyle w:val="ab"/>
          <w:b/>
        </w:rPr>
      </w:pPr>
      <w:bookmarkStart w:id="70" w:name="_Toc24826838"/>
      <w:bookmarkStart w:id="71" w:name="_Toc520213134"/>
      <w:r w:rsidRPr="00E36DFA">
        <w:lastRenderedPageBreak/>
        <w:t>Приложение Г</w:t>
      </w:r>
      <w:bookmarkStart w:id="72" w:name="_Toc24826839"/>
      <w:bookmarkEnd w:id="70"/>
      <w:bookmarkEnd w:id="71"/>
      <w:r w:rsidR="009773F3" w:rsidRPr="008654BE">
        <w:rPr>
          <w:rStyle w:val="ab"/>
          <w:b/>
        </w:rPr>
        <w:t xml:space="preserve">. Шкала оценки общего </w:t>
      </w:r>
      <w:r w:rsidR="009773F3" w:rsidRPr="00E36DFA">
        <w:rPr>
          <w:rStyle w:val="ab"/>
          <w:b/>
        </w:rPr>
        <w:t>состояния пациента ECOG</w:t>
      </w:r>
      <w:bookmarkEnd w:id="72"/>
    </w:p>
    <w:p w:rsidR="00C37E76" w:rsidRDefault="00C37E76" w:rsidP="00131E36">
      <w:pPr>
        <w:spacing w:before="0" w:after="0"/>
        <w:ind w:firstLine="709"/>
      </w:pPr>
      <w:r>
        <w:t xml:space="preserve">Клиническая оценка общего состояния пациента с </w:t>
      </w:r>
      <w:r w:rsidR="004E145E">
        <w:t>ММ</w:t>
      </w:r>
      <w:r>
        <w:t xml:space="preserve"> проводится по шкале, разработанной Восточной объединенной онкологической группой (Eastern</w:t>
      </w:r>
      <w:r w:rsidR="004E145E">
        <w:t xml:space="preserve"> </w:t>
      </w:r>
      <w:r>
        <w:t>Cooperative</w:t>
      </w:r>
      <w:r w:rsidR="004E145E">
        <w:t xml:space="preserve"> </w:t>
      </w:r>
      <w:r>
        <w:t>Oncology</w:t>
      </w:r>
      <w:r w:rsidR="004E145E">
        <w:t xml:space="preserve"> </w:t>
      </w:r>
      <w:r>
        <w:t>Group)</w:t>
      </w:r>
      <w:r w:rsidR="004E145E">
        <w:t xml:space="preserve"> </w:t>
      </w:r>
      <w:r w:rsidR="00A96FB6">
        <w:fldChar w:fldCharType="begin" w:fldLock="1"/>
      </w:r>
      <w:r w:rsidR="00315D6A">
        <w:instrText>ADDIN CSL_CITATION {"citationItems":[{"id":"ITEM-1","itemData":{"PMID":"7165009","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37e4803f-2468-3082-ae4c-dc5ab1419394"]}],"mendeley":{"formattedCitation":"[82]","plainTextFormattedCitation":"[82]","previouslyFormattedCitation":"[81]"},"properties":{"noteIndex":0},"schema":"https://github.com/citation-style-language/schema/raw/master/csl-citation.json"}</w:instrText>
      </w:r>
      <w:r w:rsidR="00A96FB6">
        <w:fldChar w:fldCharType="separate"/>
      </w:r>
      <w:r w:rsidR="00315D6A" w:rsidRPr="00315D6A">
        <w:rPr>
          <w:noProof/>
        </w:rPr>
        <w:t>[82]</w:t>
      </w:r>
      <w:r w:rsidR="00A96FB6">
        <w:fldChar w:fldCharType="end"/>
      </w:r>
      <w:r>
        <w:t>:</w:t>
      </w:r>
    </w:p>
    <w:p w:rsidR="00305AC6" w:rsidRDefault="00305AC6" w:rsidP="00305AC6">
      <w:pPr>
        <w:rPr>
          <w:lang w:val="en-US"/>
        </w:rPr>
      </w:pPr>
      <w:bookmarkStart w:id="73" w:name="_Toc16755716"/>
      <w:r>
        <w:t>Оригинальное</w:t>
      </w:r>
      <w:r w:rsidRPr="00217C30">
        <w:rPr>
          <w:lang w:val="en-US"/>
        </w:rPr>
        <w:t xml:space="preserve"> </w:t>
      </w:r>
      <w:r>
        <w:t>название</w:t>
      </w:r>
      <w:r w:rsidRPr="00217C30">
        <w:rPr>
          <w:lang w:val="en-US"/>
        </w:rPr>
        <w:t xml:space="preserve">: </w:t>
      </w:r>
      <w:r>
        <w:rPr>
          <w:lang w:val="en-US"/>
        </w:rPr>
        <w:t>The ECOG Scale of Performance Status</w:t>
      </w:r>
    </w:p>
    <w:p w:rsidR="00305AC6" w:rsidRPr="00771091" w:rsidRDefault="00305AC6" w:rsidP="00305AC6">
      <w:r>
        <w:t>Источник</w:t>
      </w:r>
      <w:r w:rsidRPr="00002E9D">
        <w:rPr>
          <w:lang w:val="en-US"/>
        </w:rPr>
        <w:t xml:space="preserve">: </w:t>
      </w:r>
      <w:r w:rsidRPr="00217C30">
        <w:rPr>
          <w:lang w:val="en-US"/>
        </w:rPr>
        <w:t xml:space="preserve">Oken M.M. et al. Toxicity and response criteria of the Eastern Cooperative Oncology Group // Am. J. Clin. </w:t>
      </w:r>
      <w:r w:rsidRPr="00002E9D">
        <w:rPr>
          <w:lang w:val="en-US"/>
        </w:rPr>
        <w:t>Oncol</w:t>
      </w:r>
      <w:r w:rsidRPr="0083371C">
        <w:t xml:space="preserve">. 1982. </w:t>
      </w:r>
      <w:r w:rsidRPr="00217C30">
        <w:t>Vol. 5, № 6. P. 649–65</w:t>
      </w:r>
      <w:r w:rsidRPr="00854625">
        <w:t xml:space="preserve"> </w:t>
      </w:r>
      <w:r>
        <w:fldChar w:fldCharType="begin" w:fldLock="1"/>
      </w:r>
      <w:r w:rsidR="00315D6A">
        <w:instrText>ADDIN CSL_CITATION {"citationItems":[{"id":"ITEM-1","itemData":{"PMID":"7165009","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37e4803f-2468-3082-ae4c-dc5ab1419394"]}],"mendeley":{"formattedCitation":"[82]","plainTextFormattedCitation":"[82]","previouslyFormattedCitation":"[81]"},"properties":{"noteIndex":0},"schema":"https://github.com/citation-style-language/schema/raw/master/csl-citation.json"}</w:instrText>
      </w:r>
      <w:r>
        <w:fldChar w:fldCharType="separate"/>
      </w:r>
      <w:r w:rsidR="00315D6A" w:rsidRPr="00315D6A">
        <w:rPr>
          <w:noProof/>
        </w:rPr>
        <w:t>[82]</w:t>
      </w:r>
      <w:r>
        <w:fldChar w:fldCharType="end"/>
      </w:r>
    </w:p>
    <w:p w:rsidR="00305AC6" w:rsidRDefault="00305AC6" w:rsidP="00305AC6">
      <w:r>
        <w:t>Тип: шкала оценки</w:t>
      </w:r>
    </w:p>
    <w:p w:rsidR="00305AC6" w:rsidRDefault="00305AC6" w:rsidP="00305AC6">
      <w:r>
        <w:t xml:space="preserve">Назначение: клиническая оценка общего состояния пациента </w:t>
      </w:r>
    </w:p>
    <w:p w:rsidR="00305AC6" w:rsidRDefault="00305AC6" w:rsidP="00305AC6">
      <w:r>
        <w:t xml:space="preserve">Содержание и интерпретация: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50"/>
        <w:gridCol w:w="7615"/>
      </w:tblGrid>
      <w:tr w:rsidR="00305AC6" w:rsidRPr="00265449" w:rsidTr="00E36DFA">
        <w:tc>
          <w:tcPr>
            <w:tcW w:w="1950" w:type="dxa"/>
          </w:tcPr>
          <w:p w:rsidR="00305AC6" w:rsidRPr="00B46C10" w:rsidRDefault="00305AC6" w:rsidP="00E35290">
            <w:pPr>
              <w:rPr>
                <w:rStyle w:val="ab"/>
                <w:b w:val="0"/>
              </w:rPr>
            </w:pPr>
            <w:r>
              <w:rPr>
                <w:rStyle w:val="ab"/>
                <w:b w:val="0"/>
              </w:rPr>
              <w:t>С</w:t>
            </w:r>
            <w:r>
              <w:rPr>
                <w:rStyle w:val="ab"/>
              </w:rPr>
              <w:t>татус (баллы)</w:t>
            </w:r>
          </w:p>
        </w:tc>
        <w:tc>
          <w:tcPr>
            <w:tcW w:w="7615" w:type="dxa"/>
          </w:tcPr>
          <w:p w:rsidR="00305AC6" w:rsidRPr="00265449" w:rsidRDefault="00305AC6" w:rsidP="00E35290">
            <w:pPr>
              <w:ind w:firstLine="36"/>
              <w:jc w:val="left"/>
              <w:rPr>
                <w:rStyle w:val="ab"/>
                <w:b w:val="0"/>
              </w:rPr>
            </w:pPr>
            <w:r>
              <w:rPr>
                <w:rStyle w:val="ab"/>
                <w:b w:val="0"/>
              </w:rPr>
              <w:t>О</w:t>
            </w:r>
            <w:r>
              <w:rPr>
                <w:rStyle w:val="ab"/>
              </w:rPr>
              <w:t>писание общего состояния пациента</w:t>
            </w:r>
          </w:p>
        </w:tc>
      </w:tr>
      <w:tr w:rsidR="00305AC6" w:rsidRPr="00265449" w:rsidTr="00E36DFA">
        <w:tc>
          <w:tcPr>
            <w:tcW w:w="1950" w:type="dxa"/>
            <w:hideMark/>
          </w:tcPr>
          <w:p w:rsidR="00305AC6" w:rsidRPr="00265449" w:rsidRDefault="00305AC6" w:rsidP="00E35290">
            <w:pPr>
              <w:rPr>
                <w:rStyle w:val="ab"/>
                <w:b w:val="0"/>
                <w:lang w:val="en-US"/>
              </w:rPr>
            </w:pPr>
            <w:r w:rsidRPr="00265449">
              <w:rPr>
                <w:rStyle w:val="ab"/>
                <w:b w:val="0"/>
                <w:lang w:val="en-US"/>
              </w:rPr>
              <w:t>0</w:t>
            </w:r>
          </w:p>
        </w:tc>
        <w:tc>
          <w:tcPr>
            <w:tcW w:w="7615" w:type="dxa"/>
            <w:hideMark/>
          </w:tcPr>
          <w:p w:rsidR="00305AC6" w:rsidRPr="00265449" w:rsidRDefault="00305AC6" w:rsidP="00E35290">
            <w:pPr>
              <w:ind w:firstLine="36"/>
              <w:jc w:val="left"/>
              <w:rPr>
                <w:rStyle w:val="ab"/>
                <w:b w:val="0"/>
              </w:rPr>
            </w:pPr>
            <w:r w:rsidRPr="00006FC5">
              <w:rPr>
                <w:rStyle w:val="ab"/>
                <w:b w:val="0"/>
              </w:rPr>
              <w:t>Па</w:t>
            </w:r>
            <w:r w:rsidRPr="00854625">
              <w:rPr>
                <w:rStyle w:val="ab"/>
                <w:b w:val="0"/>
              </w:rPr>
              <w:t>циент</w:t>
            </w:r>
            <w:r w:rsidRPr="00265449">
              <w:rPr>
                <w:rStyle w:val="ab"/>
                <w:b w:val="0"/>
              </w:rPr>
              <w:t xml:space="preserve"> полностью активен, способен выполнять все, как и до заболевания</w:t>
            </w:r>
          </w:p>
        </w:tc>
      </w:tr>
      <w:tr w:rsidR="00305AC6" w:rsidRPr="00265449" w:rsidTr="00E36DFA">
        <w:tc>
          <w:tcPr>
            <w:tcW w:w="1950" w:type="dxa"/>
            <w:hideMark/>
          </w:tcPr>
          <w:p w:rsidR="00305AC6" w:rsidRPr="00265449" w:rsidRDefault="00305AC6" w:rsidP="00E35290">
            <w:pPr>
              <w:rPr>
                <w:rStyle w:val="ab"/>
                <w:b w:val="0"/>
              </w:rPr>
            </w:pPr>
            <w:r w:rsidRPr="00265449">
              <w:rPr>
                <w:rStyle w:val="ab"/>
                <w:b w:val="0"/>
              </w:rPr>
              <w:t>1</w:t>
            </w:r>
          </w:p>
        </w:tc>
        <w:tc>
          <w:tcPr>
            <w:tcW w:w="7615" w:type="dxa"/>
            <w:hideMark/>
          </w:tcPr>
          <w:p w:rsidR="00305AC6" w:rsidRPr="00265449" w:rsidRDefault="00305AC6" w:rsidP="00E35290">
            <w:pPr>
              <w:ind w:firstLine="36"/>
              <w:jc w:val="left"/>
              <w:rPr>
                <w:rStyle w:val="ab"/>
                <w:b w:val="0"/>
              </w:rPr>
            </w:pPr>
            <w:r w:rsidRPr="00006FC5">
              <w:rPr>
                <w:rStyle w:val="ab"/>
                <w:b w:val="0"/>
              </w:rPr>
              <w:t>Па</w:t>
            </w:r>
            <w:r w:rsidRPr="00867125">
              <w:rPr>
                <w:rStyle w:val="ab"/>
                <w:b w:val="0"/>
              </w:rPr>
              <w:t>циент</w:t>
            </w:r>
            <w:r w:rsidRPr="00265449">
              <w:rPr>
                <w:rStyle w:val="ab"/>
                <w:b w:val="0"/>
              </w:rPr>
              <w:t xml:space="preserve"> неспособен выполнять тяжелую, но может выполнять легкую или сидячую работу (например, легкую домашнюю или канцелярскую работу)</w:t>
            </w:r>
          </w:p>
        </w:tc>
      </w:tr>
      <w:tr w:rsidR="00305AC6" w:rsidRPr="00265449" w:rsidTr="00E36DFA">
        <w:tc>
          <w:tcPr>
            <w:tcW w:w="1950" w:type="dxa"/>
            <w:hideMark/>
          </w:tcPr>
          <w:p w:rsidR="00305AC6" w:rsidRPr="00265449" w:rsidRDefault="00305AC6" w:rsidP="00E35290">
            <w:pPr>
              <w:rPr>
                <w:rStyle w:val="ab"/>
                <w:b w:val="0"/>
              </w:rPr>
            </w:pPr>
            <w:r w:rsidRPr="00265449">
              <w:rPr>
                <w:rStyle w:val="ab"/>
                <w:b w:val="0"/>
              </w:rPr>
              <w:t>2</w:t>
            </w:r>
          </w:p>
        </w:tc>
        <w:tc>
          <w:tcPr>
            <w:tcW w:w="7615" w:type="dxa"/>
            <w:hideMark/>
          </w:tcPr>
          <w:p w:rsidR="00305AC6" w:rsidRPr="00265449" w:rsidRDefault="00305AC6" w:rsidP="00E35290">
            <w:pPr>
              <w:ind w:firstLine="36"/>
              <w:jc w:val="left"/>
              <w:rPr>
                <w:rStyle w:val="ab"/>
                <w:b w:val="0"/>
              </w:rPr>
            </w:pPr>
            <w:r w:rsidRPr="00006FC5">
              <w:rPr>
                <w:rStyle w:val="ab"/>
                <w:b w:val="0"/>
              </w:rPr>
              <w:t>Па</w:t>
            </w:r>
            <w:r w:rsidRPr="00867125">
              <w:rPr>
                <w:rStyle w:val="ab"/>
                <w:b w:val="0"/>
              </w:rPr>
              <w:t>циент</w:t>
            </w:r>
            <w:r w:rsidRPr="00265449">
              <w:rPr>
                <w:rStyle w:val="ab"/>
                <w:b w:val="0"/>
              </w:rPr>
              <w:t xml:space="preserve"> лечится амбулаторно, способен к самообслуживанию, но не может выполнять работу. Более 50% времени проводит активно – в вертикальном положении.</w:t>
            </w:r>
          </w:p>
        </w:tc>
      </w:tr>
      <w:tr w:rsidR="00305AC6" w:rsidRPr="00265449" w:rsidTr="00E36DFA">
        <w:tc>
          <w:tcPr>
            <w:tcW w:w="1950" w:type="dxa"/>
            <w:hideMark/>
          </w:tcPr>
          <w:p w:rsidR="00305AC6" w:rsidRPr="00265449" w:rsidRDefault="00305AC6" w:rsidP="00E35290">
            <w:pPr>
              <w:rPr>
                <w:rStyle w:val="ab"/>
                <w:b w:val="0"/>
              </w:rPr>
            </w:pPr>
            <w:r w:rsidRPr="00265449">
              <w:rPr>
                <w:rStyle w:val="ab"/>
                <w:b w:val="0"/>
              </w:rPr>
              <w:t>3</w:t>
            </w:r>
          </w:p>
        </w:tc>
        <w:tc>
          <w:tcPr>
            <w:tcW w:w="7615" w:type="dxa"/>
            <w:hideMark/>
          </w:tcPr>
          <w:p w:rsidR="00305AC6" w:rsidRPr="00265449" w:rsidRDefault="00305AC6" w:rsidP="00E35290">
            <w:pPr>
              <w:ind w:firstLine="36"/>
              <w:jc w:val="left"/>
              <w:rPr>
                <w:rStyle w:val="ab"/>
                <w:b w:val="0"/>
              </w:rPr>
            </w:pPr>
            <w:r w:rsidRPr="00006FC5">
              <w:rPr>
                <w:rStyle w:val="ab"/>
                <w:b w:val="0"/>
              </w:rPr>
              <w:t>Па</w:t>
            </w:r>
            <w:r w:rsidRPr="00867125">
              <w:rPr>
                <w:rStyle w:val="ab"/>
                <w:b w:val="0"/>
              </w:rPr>
              <w:t>циент</w:t>
            </w:r>
            <w:r w:rsidRPr="00265449">
              <w:rPr>
                <w:rStyle w:val="ab"/>
                <w:b w:val="0"/>
              </w:rPr>
              <w:t xml:space="preserve"> способен лишь к ограниченному самообслуживанию, проводит в кресле или постели более 50% времени бодрствования</w:t>
            </w:r>
          </w:p>
        </w:tc>
      </w:tr>
      <w:tr w:rsidR="00305AC6" w:rsidRPr="00265449" w:rsidTr="00E36DFA">
        <w:tc>
          <w:tcPr>
            <w:tcW w:w="1950" w:type="dxa"/>
            <w:hideMark/>
          </w:tcPr>
          <w:p w:rsidR="00305AC6" w:rsidRPr="00265449" w:rsidRDefault="00305AC6" w:rsidP="00E35290">
            <w:pPr>
              <w:rPr>
                <w:rStyle w:val="ab"/>
                <w:b w:val="0"/>
              </w:rPr>
            </w:pPr>
            <w:r w:rsidRPr="00265449">
              <w:rPr>
                <w:rStyle w:val="ab"/>
                <w:b w:val="0"/>
              </w:rPr>
              <w:t>4</w:t>
            </w:r>
          </w:p>
        </w:tc>
        <w:tc>
          <w:tcPr>
            <w:tcW w:w="7615" w:type="dxa"/>
            <w:hideMark/>
          </w:tcPr>
          <w:p w:rsidR="00305AC6" w:rsidRPr="00265449" w:rsidRDefault="00305AC6" w:rsidP="00E35290">
            <w:pPr>
              <w:ind w:firstLine="36"/>
              <w:jc w:val="left"/>
              <w:rPr>
                <w:rStyle w:val="ab"/>
                <w:b w:val="0"/>
              </w:rPr>
            </w:pPr>
            <w:r w:rsidRPr="00265449">
              <w:rPr>
                <w:rStyle w:val="ab"/>
                <w:b w:val="0"/>
              </w:rPr>
              <w:t>Инвалид, совершенно не способен к самообслуживанию, прикован к креслу или постели</w:t>
            </w:r>
          </w:p>
        </w:tc>
      </w:tr>
      <w:tr w:rsidR="00D203F7" w:rsidRPr="00265449" w:rsidTr="00E35290">
        <w:tc>
          <w:tcPr>
            <w:tcW w:w="1950" w:type="dxa"/>
          </w:tcPr>
          <w:p w:rsidR="00D203F7" w:rsidRPr="00265449" w:rsidRDefault="00D203F7" w:rsidP="00E35290">
            <w:pPr>
              <w:rPr>
                <w:rStyle w:val="ab"/>
                <w:b w:val="0"/>
              </w:rPr>
            </w:pPr>
            <w:r>
              <w:rPr>
                <w:rStyle w:val="ab"/>
                <w:b w:val="0"/>
              </w:rPr>
              <w:t>5</w:t>
            </w:r>
          </w:p>
        </w:tc>
        <w:tc>
          <w:tcPr>
            <w:tcW w:w="7615" w:type="dxa"/>
          </w:tcPr>
          <w:p w:rsidR="00D203F7" w:rsidRPr="00265449" w:rsidRDefault="00D203F7" w:rsidP="00E35290">
            <w:pPr>
              <w:ind w:firstLine="36"/>
              <w:jc w:val="left"/>
              <w:rPr>
                <w:rStyle w:val="ab"/>
                <w:b w:val="0"/>
              </w:rPr>
            </w:pPr>
            <w:r>
              <w:rPr>
                <w:rStyle w:val="ab"/>
                <w:b w:val="0"/>
              </w:rPr>
              <w:t>Пациент мертв</w:t>
            </w:r>
          </w:p>
        </w:tc>
      </w:tr>
      <w:bookmarkEnd w:id="73"/>
    </w:tbl>
    <w:p w:rsidR="00935F98" w:rsidRPr="00E36DFA" w:rsidRDefault="00935F98" w:rsidP="00E36DFA">
      <w:pPr>
        <w:pStyle w:val="1"/>
        <w:rPr>
          <w:b w:val="0"/>
        </w:rPr>
      </w:pPr>
    </w:p>
    <w:sectPr w:rsidR="00935F98" w:rsidRPr="00E36DFA" w:rsidSect="009A22CE">
      <w:footerReference w:type="default" r:id="rId11"/>
      <w:pgSz w:w="11906" w:h="16838"/>
      <w:pgMar w:top="1134" w:right="850" w:bottom="1134"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57F" w:rsidRDefault="002C057F" w:rsidP="00383556">
      <w:pPr>
        <w:spacing w:before="0" w:after="0" w:line="240" w:lineRule="auto"/>
      </w:pPr>
      <w:r>
        <w:separator/>
      </w:r>
    </w:p>
  </w:endnote>
  <w:endnote w:type="continuationSeparator" w:id="0">
    <w:p w:rsidR="002C057F" w:rsidRDefault="002C057F" w:rsidP="00383556">
      <w:pPr>
        <w:spacing w:before="0" w:after="0" w:line="240" w:lineRule="auto"/>
      </w:pPr>
      <w:r>
        <w:continuationSeparator/>
      </w:r>
    </w:p>
  </w:endnote>
  <w:endnote w:type="continuationNotice" w:id="1">
    <w:p w:rsidR="002C057F" w:rsidRDefault="002C057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0002AFF" w:usb1="C000247B" w:usb2="00000009" w:usb3="00000000" w:csb0="000001FF" w:csb1="00000000"/>
  </w:font>
  <w:font w:name="Segoe UI">
    <w:altName w:val="Calibri"/>
    <w:panose1 w:val="020B0502040204020203"/>
    <w:charset w:val="CC"/>
    <w:family w:val="swiss"/>
    <w:pitch w:val="variable"/>
    <w:sig w:usb0="E00022FF" w:usb1="C000205B" w:usb2="00000009" w:usb3="00000000" w:csb0="000001DF" w:csb1="00000000"/>
  </w:font>
  <w:font w:name="GalsLightC">
    <w:altName w:val="MS Mincho"/>
    <w:panose1 w:val="00000000000000000000"/>
    <w:charset w:val="80"/>
    <w:family w:val="auto"/>
    <w:notTrueType/>
    <w:pitch w:val="default"/>
    <w:sig w:usb0="00000001" w:usb1="08070000" w:usb2="00000010" w:usb3="00000000" w:csb0="00020000" w:csb1="00000000"/>
  </w:font>
  <w:font w:name="yandex-sans">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DF3" w:rsidRDefault="00D62DF3">
    <w:pPr>
      <w:pStyle w:val="a9"/>
      <w:jc w:val="center"/>
    </w:pPr>
    <w:r>
      <w:fldChar w:fldCharType="begin"/>
    </w:r>
    <w:r w:rsidRPr="00383556">
      <w:instrText>PAGE   \* MERGEFORMAT</w:instrText>
    </w:r>
    <w:r>
      <w:fldChar w:fldCharType="separate"/>
    </w:r>
    <w:r w:rsidR="001712FE">
      <w:rPr>
        <w:noProof/>
      </w:rPr>
      <w:t>81</w:t>
    </w:r>
    <w:r>
      <w:fldChar w:fldCharType="end"/>
    </w:r>
  </w:p>
  <w:p w:rsidR="00D62DF3" w:rsidRDefault="00D62DF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57F" w:rsidRDefault="002C057F" w:rsidP="00383556">
      <w:pPr>
        <w:spacing w:before="0" w:after="0" w:line="240" w:lineRule="auto"/>
      </w:pPr>
      <w:r>
        <w:separator/>
      </w:r>
    </w:p>
  </w:footnote>
  <w:footnote w:type="continuationSeparator" w:id="0">
    <w:p w:rsidR="002C057F" w:rsidRDefault="002C057F" w:rsidP="00383556">
      <w:pPr>
        <w:spacing w:before="0" w:after="0" w:line="240" w:lineRule="auto"/>
      </w:pPr>
      <w:r>
        <w:continuationSeparator/>
      </w:r>
    </w:p>
  </w:footnote>
  <w:footnote w:type="continuationNotice" w:id="1">
    <w:p w:rsidR="002C057F" w:rsidRDefault="002C057F">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nsid w:val="00000005"/>
    <w:multiLevelType w:val="multilevel"/>
    <w:tmpl w:val="A818306A"/>
    <w:name w:val="WW8Num5"/>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color w:val="000000"/>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nsid w:val="00000006"/>
    <w:multiLevelType w:val="multilevel"/>
    <w:tmpl w:val="3C4A5526"/>
    <w:lvl w:ilvl="0">
      <w:start w:val="1"/>
      <w:numFmt w:val="decimal"/>
      <w:lvlText w:val="%1."/>
      <w:lvlJc w:val="left"/>
      <w:pPr>
        <w:tabs>
          <w:tab w:val="num" w:pos="1624"/>
        </w:tabs>
        <w:ind w:left="2344" w:hanging="360"/>
      </w:pPr>
      <w:rPr>
        <w:rFonts w:ascii="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19"/>
    <w:multiLevelType w:val="singleLevel"/>
    <w:tmpl w:val="00000019"/>
    <w:name w:val="WW8Num25"/>
    <w:lvl w:ilvl="0">
      <w:start w:val="1"/>
      <w:numFmt w:val="bullet"/>
      <w:lvlText w:val=""/>
      <w:lvlJc w:val="left"/>
      <w:pPr>
        <w:tabs>
          <w:tab w:val="num" w:pos="0"/>
        </w:tabs>
        <w:ind w:left="720" w:hanging="360"/>
      </w:pPr>
      <w:rPr>
        <w:rFonts w:ascii="Symbol" w:hAnsi="Symbol" w:cs="Symbol"/>
      </w:rPr>
    </w:lvl>
  </w:abstractNum>
  <w:abstractNum w:abstractNumId="4">
    <w:nsid w:val="00000020"/>
    <w:multiLevelType w:val="singleLevel"/>
    <w:tmpl w:val="00000020"/>
    <w:name w:val="WW8Num32"/>
    <w:lvl w:ilvl="0">
      <w:start w:val="1"/>
      <w:numFmt w:val="bullet"/>
      <w:lvlText w:val=""/>
      <w:lvlJc w:val="left"/>
      <w:pPr>
        <w:tabs>
          <w:tab w:val="num" w:pos="0"/>
        </w:tabs>
        <w:ind w:left="720" w:hanging="360"/>
      </w:pPr>
      <w:rPr>
        <w:rFonts w:ascii="Symbol" w:hAnsi="Symbol" w:cs="Symbol"/>
      </w:rPr>
    </w:lvl>
  </w:abstractNum>
  <w:abstractNum w:abstractNumId="5">
    <w:nsid w:val="00000026"/>
    <w:multiLevelType w:val="singleLevel"/>
    <w:tmpl w:val="00000026"/>
    <w:name w:val="WW8Num38"/>
    <w:lvl w:ilvl="0">
      <w:start w:val="1"/>
      <w:numFmt w:val="bullet"/>
      <w:lvlText w:val=""/>
      <w:lvlJc w:val="left"/>
      <w:pPr>
        <w:tabs>
          <w:tab w:val="num" w:pos="0"/>
        </w:tabs>
        <w:ind w:left="720" w:hanging="360"/>
      </w:pPr>
      <w:rPr>
        <w:rFonts w:ascii="Symbol" w:hAnsi="Symbol" w:cs="Symbol"/>
      </w:rPr>
    </w:lvl>
  </w:abstractNum>
  <w:abstractNum w:abstractNumId="6">
    <w:nsid w:val="00000030"/>
    <w:multiLevelType w:val="singleLevel"/>
    <w:tmpl w:val="00000030"/>
    <w:name w:val="WW8Num48"/>
    <w:lvl w:ilvl="0">
      <w:start w:val="1"/>
      <w:numFmt w:val="bullet"/>
      <w:lvlText w:val=""/>
      <w:lvlJc w:val="left"/>
      <w:pPr>
        <w:tabs>
          <w:tab w:val="num" w:pos="0"/>
        </w:tabs>
        <w:ind w:left="720" w:hanging="360"/>
      </w:pPr>
      <w:rPr>
        <w:rFonts w:ascii="Symbol" w:hAnsi="Symbol" w:cs="Symbol"/>
      </w:rPr>
    </w:lvl>
  </w:abstractNum>
  <w:abstractNum w:abstractNumId="7">
    <w:nsid w:val="00000031"/>
    <w:multiLevelType w:val="multilevel"/>
    <w:tmpl w:val="00000031"/>
    <w:name w:val="WW8Num49"/>
    <w:lvl w:ilvl="0">
      <w:start w:val="1"/>
      <w:numFmt w:val="bullet"/>
      <w:lvlText w:val=""/>
      <w:lvlJc w:val="left"/>
      <w:pPr>
        <w:tabs>
          <w:tab w:val="num" w:pos="348"/>
        </w:tabs>
        <w:ind w:left="1068" w:hanging="360"/>
      </w:pPr>
      <w:rPr>
        <w:rFonts w:ascii="Symbol" w:hAnsi="Symbol" w:cs="Symbol"/>
      </w:rPr>
    </w:lvl>
    <w:lvl w:ilvl="1">
      <w:start w:val="1"/>
      <w:numFmt w:val="bullet"/>
      <w:lvlText w:val="o"/>
      <w:lvlJc w:val="left"/>
      <w:pPr>
        <w:tabs>
          <w:tab w:val="num" w:pos="348"/>
        </w:tabs>
        <w:ind w:left="1788" w:hanging="360"/>
      </w:pPr>
      <w:rPr>
        <w:rFonts w:ascii="Courier New" w:hAnsi="Courier New" w:cs="Courier New"/>
      </w:rPr>
    </w:lvl>
    <w:lvl w:ilvl="2">
      <w:start w:val="1"/>
      <w:numFmt w:val="bullet"/>
      <w:lvlText w:val=""/>
      <w:lvlJc w:val="left"/>
      <w:pPr>
        <w:tabs>
          <w:tab w:val="num" w:pos="348"/>
        </w:tabs>
        <w:ind w:left="2508" w:hanging="360"/>
      </w:pPr>
      <w:rPr>
        <w:rFonts w:ascii="Wingdings" w:hAnsi="Wingdings" w:cs="Wingdings"/>
      </w:rPr>
    </w:lvl>
    <w:lvl w:ilvl="3">
      <w:start w:val="1"/>
      <w:numFmt w:val="bullet"/>
      <w:lvlText w:val=""/>
      <w:lvlJc w:val="left"/>
      <w:pPr>
        <w:tabs>
          <w:tab w:val="num" w:pos="348"/>
        </w:tabs>
        <w:ind w:left="3228" w:hanging="360"/>
      </w:pPr>
      <w:rPr>
        <w:rFonts w:ascii="Symbol" w:hAnsi="Symbol" w:cs="Symbol"/>
      </w:rPr>
    </w:lvl>
    <w:lvl w:ilvl="4">
      <w:start w:val="1"/>
      <w:numFmt w:val="bullet"/>
      <w:lvlText w:val="o"/>
      <w:lvlJc w:val="left"/>
      <w:pPr>
        <w:tabs>
          <w:tab w:val="num" w:pos="348"/>
        </w:tabs>
        <w:ind w:left="3948" w:hanging="360"/>
      </w:pPr>
      <w:rPr>
        <w:rFonts w:ascii="Courier New" w:hAnsi="Courier New" w:cs="Courier New"/>
      </w:rPr>
    </w:lvl>
    <w:lvl w:ilvl="5">
      <w:start w:val="1"/>
      <w:numFmt w:val="bullet"/>
      <w:lvlText w:val=""/>
      <w:lvlJc w:val="left"/>
      <w:pPr>
        <w:tabs>
          <w:tab w:val="num" w:pos="348"/>
        </w:tabs>
        <w:ind w:left="4668" w:hanging="360"/>
      </w:pPr>
      <w:rPr>
        <w:rFonts w:ascii="Wingdings" w:hAnsi="Wingdings" w:cs="Wingdings"/>
      </w:rPr>
    </w:lvl>
    <w:lvl w:ilvl="6">
      <w:start w:val="1"/>
      <w:numFmt w:val="bullet"/>
      <w:lvlText w:val=""/>
      <w:lvlJc w:val="left"/>
      <w:pPr>
        <w:tabs>
          <w:tab w:val="num" w:pos="348"/>
        </w:tabs>
        <w:ind w:left="5388" w:hanging="360"/>
      </w:pPr>
      <w:rPr>
        <w:rFonts w:ascii="Symbol" w:hAnsi="Symbol" w:cs="Symbol"/>
      </w:rPr>
    </w:lvl>
    <w:lvl w:ilvl="7">
      <w:start w:val="1"/>
      <w:numFmt w:val="bullet"/>
      <w:lvlText w:val="o"/>
      <w:lvlJc w:val="left"/>
      <w:pPr>
        <w:tabs>
          <w:tab w:val="num" w:pos="348"/>
        </w:tabs>
        <w:ind w:left="6108" w:hanging="360"/>
      </w:pPr>
      <w:rPr>
        <w:rFonts w:ascii="Courier New" w:hAnsi="Courier New" w:cs="Courier New"/>
      </w:rPr>
    </w:lvl>
    <w:lvl w:ilvl="8">
      <w:start w:val="1"/>
      <w:numFmt w:val="bullet"/>
      <w:lvlText w:val=""/>
      <w:lvlJc w:val="left"/>
      <w:pPr>
        <w:tabs>
          <w:tab w:val="num" w:pos="348"/>
        </w:tabs>
        <w:ind w:left="6828" w:hanging="360"/>
      </w:pPr>
      <w:rPr>
        <w:rFonts w:ascii="Wingdings" w:hAnsi="Wingdings" w:cs="Wingdings"/>
      </w:rPr>
    </w:lvl>
  </w:abstractNum>
  <w:abstractNum w:abstractNumId="8">
    <w:nsid w:val="00F72E58"/>
    <w:multiLevelType w:val="hybridMultilevel"/>
    <w:tmpl w:val="369A269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01AE27A5"/>
    <w:multiLevelType w:val="hybridMultilevel"/>
    <w:tmpl w:val="1D300D3A"/>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04044FFD"/>
    <w:multiLevelType w:val="hybridMultilevel"/>
    <w:tmpl w:val="D66455DA"/>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0455697B"/>
    <w:multiLevelType w:val="hybridMultilevel"/>
    <w:tmpl w:val="C52A8578"/>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04EE4D21"/>
    <w:multiLevelType w:val="hybridMultilevel"/>
    <w:tmpl w:val="7EF4DF9A"/>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05287AC5"/>
    <w:multiLevelType w:val="hybridMultilevel"/>
    <w:tmpl w:val="989E52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B77748"/>
    <w:multiLevelType w:val="hybridMultilevel"/>
    <w:tmpl w:val="C110395E"/>
    <w:lvl w:ilvl="0" w:tplc="70B68430">
      <w:start w:val="1"/>
      <w:numFmt w:val="bullet"/>
      <w:lvlText w:val=""/>
      <w:lvlJc w:val="left"/>
      <w:pPr>
        <w:ind w:left="720" w:hanging="360"/>
      </w:pPr>
      <w:rPr>
        <w:rFonts w:ascii="Symbol" w:hAnsi="Symbol" w:hint="default"/>
      </w:rPr>
    </w:lvl>
    <w:lvl w:ilvl="1" w:tplc="04B26438">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8963AF"/>
    <w:multiLevelType w:val="hybridMultilevel"/>
    <w:tmpl w:val="D6C28B1E"/>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08DB773E"/>
    <w:multiLevelType w:val="hybridMultilevel"/>
    <w:tmpl w:val="C5E2F7DA"/>
    <w:lvl w:ilvl="0" w:tplc="04190019">
      <w:start w:val="1"/>
      <w:numFmt w:val="bullet"/>
      <w:lvlText w:val="o"/>
      <w:lvlJc w:val="left"/>
      <w:pPr>
        <w:ind w:left="720" w:hanging="360"/>
      </w:pPr>
      <w:rPr>
        <w:rFonts w:ascii="Courier New" w:hAnsi="Courier New" w:cs="Courier New" w:hint="default"/>
      </w:rPr>
    </w:lvl>
    <w:lvl w:ilvl="1" w:tplc="1D604D54" w:tentative="1">
      <w:start w:val="1"/>
      <w:numFmt w:val="bullet"/>
      <w:lvlText w:val="o"/>
      <w:lvlJc w:val="left"/>
      <w:pPr>
        <w:ind w:left="1440" w:hanging="360"/>
      </w:pPr>
      <w:rPr>
        <w:rFonts w:ascii="Courier New" w:hAnsi="Courier New" w:cs="Courier New" w:hint="default"/>
      </w:rPr>
    </w:lvl>
    <w:lvl w:ilvl="2" w:tplc="1592C2F8" w:tentative="1">
      <w:start w:val="1"/>
      <w:numFmt w:val="bullet"/>
      <w:lvlText w:val=""/>
      <w:lvlJc w:val="left"/>
      <w:pPr>
        <w:ind w:left="2160" w:hanging="360"/>
      </w:pPr>
      <w:rPr>
        <w:rFonts w:ascii="Wingdings" w:hAnsi="Wingdings" w:hint="default"/>
      </w:rPr>
    </w:lvl>
    <w:lvl w:ilvl="3" w:tplc="4FD03078" w:tentative="1">
      <w:start w:val="1"/>
      <w:numFmt w:val="bullet"/>
      <w:lvlText w:val=""/>
      <w:lvlJc w:val="left"/>
      <w:pPr>
        <w:ind w:left="2880" w:hanging="360"/>
      </w:pPr>
      <w:rPr>
        <w:rFonts w:ascii="Symbol" w:hAnsi="Symbol" w:hint="default"/>
      </w:rPr>
    </w:lvl>
    <w:lvl w:ilvl="4" w:tplc="E5081906" w:tentative="1">
      <w:start w:val="1"/>
      <w:numFmt w:val="bullet"/>
      <w:lvlText w:val="o"/>
      <w:lvlJc w:val="left"/>
      <w:pPr>
        <w:ind w:left="3600" w:hanging="360"/>
      </w:pPr>
      <w:rPr>
        <w:rFonts w:ascii="Courier New" w:hAnsi="Courier New" w:cs="Courier New" w:hint="default"/>
      </w:rPr>
    </w:lvl>
    <w:lvl w:ilvl="5" w:tplc="76785896" w:tentative="1">
      <w:start w:val="1"/>
      <w:numFmt w:val="bullet"/>
      <w:lvlText w:val=""/>
      <w:lvlJc w:val="left"/>
      <w:pPr>
        <w:ind w:left="4320" w:hanging="360"/>
      </w:pPr>
      <w:rPr>
        <w:rFonts w:ascii="Wingdings" w:hAnsi="Wingdings" w:hint="default"/>
      </w:rPr>
    </w:lvl>
    <w:lvl w:ilvl="6" w:tplc="D3702B18" w:tentative="1">
      <w:start w:val="1"/>
      <w:numFmt w:val="bullet"/>
      <w:lvlText w:val=""/>
      <w:lvlJc w:val="left"/>
      <w:pPr>
        <w:ind w:left="5040" w:hanging="360"/>
      </w:pPr>
      <w:rPr>
        <w:rFonts w:ascii="Symbol" w:hAnsi="Symbol" w:hint="default"/>
      </w:rPr>
    </w:lvl>
    <w:lvl w:ilvl="7" w:tplc="BAF86C7E" w:tentative="1">
      <w:start w:val="1"/>
      <w:numFmt w:val="bullet"/>
      <w:lvlText w:val="o"/>
      <w:lvlJc w:val="left"/>
      <w:pPr>
        <w:ind w:left="5760" w:hanging="360"/>
      </w:pPr>
      <w:rPr>
        <w:rFonts w:ascii="Courier New" w:hAnsi="Courier New" w:cs="Courier New" w:hint="default"/>
      </w:rPr>
    </w:lvl>
    <w:lvl w:ilvl="8" w:tplc="ACB4F8E2" w:tentative="1">
      <w:start w:val="1"/>
      <w:numFmt w:val="bullet"/>
      <w:lvlText w:val=""/>
      <w:lvlJc w:val="left"/>
      <w:pPr>
        <w:ind w:left="6480" w:hanging="360"/>
      </w:pPr>
      <w:rPr>
        <w:rFonts w:ascii="Wingdings" w:hAnsi="Wingdings" w:hint="default"/>
      </w:rPr>
    </w:lvl>
  </w:abstractNum>
  <w:abstractNum w:abstractNumId="17">
    <w:nsid w:val="0A3708B6"/>
    <w:multiLevelType w:val="hybridMultilevel"/>
    <w:tmpl w:val="C57EE46E"/>
    <w:lvl w:ilvl="0" w:tplc="C2E42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0A686F7B"/>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nsid w:val="0C89259E"/>
    <w:multiLevelType w:val="hybridMultilevel"/>
    <w:tmpl w:val="1A628A16"/>
    <w:lvl w:ilvl="0" w:tplc="7D84D76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nsid w:val="0F544DC7"/>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nsid w:val="11854BEA"/>
    <w:multiLevelType w:val="hybridMultilevel"/>
    <w:tmpl w:val="1EC49918"/>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133456E3"/>
    <w:multiLevelType w:val="hybridMultilevel"/>
    <w:tmpl w:val="10CCA596"/>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140669BD"/>
    <w:multiLevelType w:val="hybridMultilevel"/>
    <w:tmpl w:val="14F0B0C8"/>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17A53DFF"/>
    <w:multiLevelType w:val="hybridMultilevel"/>
    <w:tmpl w:val="5AFA7C62"/>
    <w:lvl w:ilvl="0" w:tplc="04190019">
      <w:start w:val="1"/>
      <w:numFmt w:val="bullet"/>
      <w:lvlText w:val="o"/>
      <w:lvlJc w:val="left"/>
      <w:pPr>
        <w:ind w:left="1080" w:hanging="360"/>
      </w:pPr>
      <w:rPr>
        <w:rFonts w:ascii="Courier New" w:hAnsi="Courier New" w:cs="Courier New"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1868006F"/>
    <w:multiLevelType w:val="hybridMultilevel"/>
    <w:tmpl w:val="8D465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C506D41"/>
    <w:multiLevelType w:val="hybridMultilevel"/>
    <w:tmpl w:val="9C6E91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E392537"/>
    <w:multiLevelType w:val="hybridMultilevel"/>
    <w:tmpl w:val="B3EC0E4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1FA52690"/>
    <w:multiLevelType w:val="multilevel"/>
    <w:tmpl w:val="7E96B6BA"/>
    <w:lvl w:ilvl="0">
      <w:start w:val="1"/>
      <w:numFmt w:val="decimal"/>
      <w:lvlText w:val="%1."/>
      <w:lvlJc w:val="left"/>
      <w:pPr>
        <w:ind w:left="1429" w:hanging="360"/>
      </w:pPr>
    </w:lvl>
    <w:lvl w:ilvl="1">
      <w:start w:val="3"/>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9">
    <w:nsid w:val="217947AB"/>
    <w:multiLevelType w:val="hybridMultilevel"/>
    <w:tmpl w:val="4E9E51C4"/>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223F1592"/>
    <w:multiLevelType w:val="hybridMultilevel"/>
    <w:tmpl w:val="45F074A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22FA79B0"/>
    <w:multiLevelType w:val="hybridMultilevel"/>
    <w:tmpl w:val="6ECAAB92"/>
    <w:lvl w:ilvl="0" w:tplc="04190001">
      <w:start w:val="1"/>
      <w:numFmt w:val="bullet"/>
      <w:lvlText w:val=""/>
      <w:lvlJc w:val="left"/>
      <w:pPr>
        <w:ind w:left="1414" w:hanging="705"/>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26390420"/>
    <w:multiLevelType w:val="hybridMultilevel"/>
    <w:tmpl w:val="B6AEC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A1C3034"/>
    <w:multiLevelType w:val="hybridMultilevel"/>
    <w:tmpl w:val="C95C5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2D002B2"/>
    <w:multiLevelType w:val="hybridMultilevel"/>
    <w:tmpl w:val="D77E79D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nsid w:val="34E90886"/>
    <w:multiLevelType w:val="hybridMultilevel"/>
    <w:tmpl w:val="1F741318"/>
    <w:lvl w:ilvl="0" w:tplc="DEF28D1C">
      <w:start w:val="1"/>
      <w:numFmt w:val="bullet"/>
      <w:lvlText w:val="•"/>
      <w:lvlJc w:val="left"/>
      <w:pPr>
        <w:ind w:left="720" w:hanging="360"/>
      </w:pPr>
      <w:rPr>
        <w:rFonts w:ascii="Arial" w:hAnsi="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5F2393F"/>
    <w:multiLevelType w:val="hybridMultilevel"/>
    <w:tmpl w:val="D8606938"/>
    <w:lvl w:ilvl="0" w:tplc="04190019">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60945F5"/>
    <w:multiLevelType w:val="hybridMultilevel"/>
    <w:tmpl w:val="0B72709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3D9116DC"/>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9">
    <w:nsid w:val="3EAB6490"/>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0">
    <w:nsid w:val="3F0677E4"/>
    <w:multiLevelType w:val="hybridMultilevel"/>
    <w:tmpl w:val="4ECEA044"/>
    <w:lvl w:ilvl="0" w:tplc="04190019">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3F4E4178"/>
    <w:multiLevelType w:val="hybridMultilevel"/>
    <w:tmpl w:val="DB0CD6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46A60512"/>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nsid w:val="47497BE7"/>
    <w:multiLevelType w:val="hybridMultilevel"/>
    <w:tmpl w:val="53EACD94"/>
    <w:lvl w:ilvl="0" w:tplc="04190001">
      <w:start w:val="1"/>
      <w:numFmt w:val="bullet"/>
      <w:lvlText w:val=""/>
      <w:lvlJc w:val="left"/>
      <w:pPr>
        <w:ind w:left="1414" w:hanging="705"/>
      </w:pPr>
      <w:rPr>
        <w:rFonts w:ascii="Symbol" w:hAnsi="Symbol" w:hint="default"/>
      </w:rPr>
    </w:lvl>
    <w:lvl w:ilvl="1" w:tplc="C37883F2">
      <w:numFmt w:val="bullet"/>
      <w:lvlText w:val="•"/>
      <w:lvlJc w:val="left"/>
      <w:pPr>
        <w:ind w:left="2134" w:hanging="705"/>
      </w:pPr>
      <w:rPr>
        <w:rFonts w:ascii="Times New Roman" w:eastAsia="Calibri"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4">
    <w:nsid w:val="49533624"/>
    <w:multiLevelType w:val="hybridMultilevel"/>
    <w:tmpl w:val="1F346B6A"/>
    <w:lvl w:ilvl="0" w:tplc="531490C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9BC7B6C"/>
    <w:multiLevelType w:val="hybridMultilevel"/>
    <w:tmpl w:val="0D4206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E501A34"/>
    <w:multiLevelType w:val="hybridMultilevel"/>
    <w:tmpl w:val="96DAD232"/>
    <w:lvl w:ilvl="0" w:tplc="0419000F">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7">
    <w:nsid w:val="4EBC3E93"/>
    <w:multiLevelType w:val="multilevel"/>
    <w:tmpl w:val="F62C9F22"/>
    <w:lvl w:ilvl="0">
      <w:start w:val="1"/>
      <w:numFmt w:val="decimal"/>
      <w:lvlText w:val="%1."/>
      <w:lvlJc w:val="left"/>
      <w:pPr>
        <w:tabs>
          <w:tab w:val="num" w:pos="0"/>
        </w:tabs>
        <w:ind w:left="720" w:hanging="360"/>
      </w:pPr>
      <w:rPr>
        <w:rFonts w:ascii="Calibri" w:hAnsi="Calibri"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8">
    <w:nsid w:val="4EBD642C"/>
    <w:multiLevelType w:val="hybridMultilevel"/>
    <w:tmpl w:val="784EAAB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nsid w:val="4F011CF1"/>
    <w:multiLevelType w:val="hybridMultilevel"/>
    <w:tmpl w:val="A366148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nsid w:val="502E4853"/>
    <w:multiLevelType w:val="hybridMultilevel"/>
    <w:tmpl w:val="985690D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55BB3E03"/>
    <w:multiLevelType w:val="hybridMultilevel"/>
    <w:tmpl w:val="610C9324"/>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nsid w:val="55DF1E88"/>
    <w:multiLevelType w:val="multilevel"/>
    <w:tmpl w:val="F62C9F22"/>
    <w:lvl w:ilvl="0">
      <w:start w:val="1"/>
      <w:numFmt w:val="decimal"/>
      <w:lvlText w:val="%1."/>
      <w:lvlJc w:val="left"/>
      <w:pPr>
        <w:tabs>
          <w:tab w:val="num" w:pos="0"/>
        </w:tabs>
        <w:ind w:left="720" w:hanging="360"/>
      </w:pPr>
      <w:rPr>
        <w:rFonts w:ascii="Calibri" w:hAnsi="Calibri"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3">
    <w:nsid w:val="586E3ECF"/>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4">
    <w:nsid w:val="58C53A29"/>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5">
    <w:nsid w:val="636D164C"/>
    <w:multiLevelType w:val="multilevel"/>
    <w:tmpl w:val="3F92285A"/>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6">
    <w:nsid w:val="64747564"/>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7">
    <w:nsid w:val="65177BDF"/>
    <w:multiLevelType w:val="hybridMultilevel"/>
    <w:tmpl w:val="F31C0280"/>
    <w:lvl w:ilvl="0" w:tplc="04190019">
      <w:start w:val="1"/>
      <w:numFmt w:val="bullet"/>
      <w:lvlText w:val="o"/>
      <w:lvlJc w:val="left"/>
      <w:pPr>
        <w:ind w:left="720" w:hanging="360"/>
      </w:pPr>
      <w:rPr>
        <w:rFonts w:ascii="Courier New" w:hAnsi="Courier New" w:cs="Courier New"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8">
    <w:nsid w:val="65CF037B"/>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9">
    <w:nsid w:val="67EA47E3"/>
    <w:multiLevelType w:val="multilevel"/>
    <w:tmpl w:val="2CDC7C2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0">
    <w:nsid w:val="67F628E0"/>
    <w:multiLevelType w:val="hybridMultilevel"/>
    <w:tmpl w:val="91AAD19C"/>
    <w:lvl w:ilvl="0" w:tplc="04190019">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9467160"/>
    <w:multiLevelType w:val="hybridMultilevel"/>
    <w:tmpl w:val="9ACAC5AA"/>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nsid w:val="697860EF"/>
    <w:multiLevelType w:val="multilevel"/>
    <w:tmpl w:val="EBFE0E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6A080F88"/>
    <w:multiLevelType w:val="hybridMultilevel"/>
    <w:tmpl w:val="32426FF2"/>
    <w:lvl w:ilvl="0" w:tplc="04190001">
      <w:start w:val="1"/>
      <w:numFmt w:val="bullet"/>
      <w:lvlText w:val=""/>
      <w:lvlJc w:val="left"/>
      <w:pPr>
        <w:ind w:left="2123" w:hanging="705"/>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6E685C1F"/>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5">
    <w:nsid w:val="71C5594A"/>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6">
    <w:nsid w:val="760F7789"/>
    <w:multiLevelType w:val="hybridMultilevel"/>
    <w:tmpl w:val="E8AA549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7">
    <w:nsid w:val="76ED45EA"/>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8">
    <w:nsid w:val="7B222A82"/>
    <w:multiLevelType w:val="hybridMultilevel"/>
    <w:tmpl w:val="E9DAEA2C"/>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nsid w:val="7BC466DD"/>
    <w:multiLevelType w:val="hybridMultilevel"/>
    <w:tmpl w:val="ECFE7E88"/>
    <w:lvl w:ilvl="0" w:tplc="23D890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7D352FBE"/>
    <w:multiLevelType w:val="hybridMultilevel"/>
    <w:tmpl w:val="BD1EB832"/>
    <w:lvl w:ilvl="0" w:tplc="04190001">
      <w:start w:val="1"/>
      <w:numFmt w:val="bullet"/>
      <w:lvlText w:val=""/>
      <w:lvlJc w:val="left"/>
      <w:pPr>
        <w:ind w:left="705" w:hanging="705"/>
      </w:pPr>
      <w:rPr>
        <w:rFonts w:ascii="Symbol" w:hAnsi="Symbol" w:hint="default"/>
      </w:rPr>
    </w:lvl>
    <w:lvl w:ilvl="1" w:tplc="04190001">
      <w:start w:val="1"/>
      <w:numFmt w:val="bullet"/>
      <w:lvlText w:val=""/>
      <w:lvlJc w:val="left"/>
      <w:pPr>
        <w:ind w:left="1080" w:hanging="360"/>
      </w:pPr>
      <w:rPr>
        <w:rFonts w:ascii="Symbol" w:hAnsi="Symbol"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nsid w:val="7F3D118A"/>
    <w:multiLevelType w:val="hybridMultilevel"/>
    <w:tmpl w:val="54DE5DC0"/>
    <w:lvl w:ilvl="0" w:tplc="04190001">
      <w:start w:val="1"/>
      <w:numFmt w:val="bullet"/>
      <w:lvlText w:val=""/>
      <w:lvlJc w:val="left"/>
      <w:pPr>
        <w:ind w:left="2123" w:hanging="705"/>
      </w:pPr>
      <w:rPr>
        <w:rFonts w:ascii="Symbol" w:hAnsi="Symbol" w:hint="default"/>
      </w:rPr>
    </w:lvl>
    <w:lvl w:ilvl="1" w:tplc="BC0A5420">
      <w:numFmt w:val="bullet"/>
      <w:lvlText w:val="•"/>
      <w:lvlJc w:val="left"/>
      <w:pPr>
        <w:ind w:left="2494" w:hanging="705"/>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7FEE2D9D"/>
    <w:multiLevelType w:val="hybridMultilevel"/>
    <w:tmpl w:val="3C9EF636"/>
    <w:lvl w:ilvl="0" w:tplc="C2E42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3"/>
  </w:num>
  <w:num w:numId="2">
    <w:abstractNumId w:val="70"/>
  </w:num>
  <w:num w:numId="3">
    <w:abstractNumId w:val="71"/>
  </w:num>
  <w:num w:numId="4">
    <w:abstractNumId w:val="31"/>
  </w:num>
  <w:num w:numId="5">
    <w:abstractNumId w:val="43"/>
  </w:num>
  <w:num w:numId="6">
    <w:abstractNumId w:val="66"/>
  </w:num>
  <w:num w:numId="7">
    <w:abstractNumId w:val="1"/>
  </w:num>
  <w:num w:numId="8">
    <w:abstractNumId w:val="2"/>
  </w:num>
  <w:num w:numId="9">
    <w:abstractNumId w:val="7"/>
  </w:num>
  <w:num w:numId="10">
    <w:abstractNumId w:val="33"/>
  </w:num>
  <w:num w:numId="11">
    <w:abstractNumId w:val="13"/>
  </w:num>
  <w:num w:numId="12">
    <w:abstractNumId w:val="55"/>
  </w:num>
  <w:num w:numId="13">
    <w:abstractNumId w:val="47"/>
  </w:num>
  <w:num w:numId="14">
    <w:abstractNumId w:val="52"/>
  </w:num>
  <w:num w:numId="15">
    <w:abstractNumId w:val="46"/>
  </w:num>
  <w:num w:numId="16">
    <w:abstractNumId w:val="14"/>
  </w:num>
  <w:num w:numId="17">
    <w:abstractNumId w:val="45"/>
  </w:num>
  <w:num w:numId="18">
    <w:abstractNumId w:val="26"/>
  </w:num>
  <w:num w:numId="19">
    <w:abstractNumId w:val="62"/>
  </w:num>
  <w:num w:numId="20">
    <w:abstractNumId w:val="36"/>
  </w:num>
  <w:num w:numId="21">
    <w:abstractNumId w:val="22"/>
  </w:num>
  <w:num w:numId="22">
    <w:abstractNumId w:val="10"/>
  </w:num>
  <w:num w:numId="23">
    <w:abstractNumId w:val="57"/>
  </w:num>
  <w:num w:numId="24">
    <w:abstractNumId w:val="27"/>
  </w:num>
  <w:num w:numId="25">
    <w:abstractNumId w:val="51"/>
  </w:num>
  <w:num w:numId="26">
    <w:abstractNumId w:val="61"/>
  </w:num>
  <w:num w:numId="27">
    <w:abstractNumId w:val="49"/>
  </w:num>
  <w:num w:numId="28">
    <w:abstractNumId w:val="29"/>
  </w:num>
  <w:num w:numId="29">
    <w:abstractNumId w:val="23"/>
  </w:num>
  <w:num w:numId="30">
    <w:abstractNumId w:val="50"/>
  </w:num>
  <w:num w:numId="31">
    <w:abstractNumId w:val="48"/>
  </w:num>
  <w:num w:numId="32">
    <w:abstractNumId w:val="21"/>
  </w:num>
  <w:num w:numId="33">
    <w:abstractNumId w:val="15"/>
  </w:num>
  <w:num w:numId="34">
    <w:abstractNumId w:val="68"/>
  </w:num>
  <w:num w:numId="35">
    <w:abstractNumId w:val="39"/>
  </w:num>
  <w:num w:numId="36">
    <w:abstractNumId w:val="38"/>
  </w:num>
  <w:num w:numId="37">
    <w:abstractNumId w:val="65"/>
  </w:num>
  <w:num w:numId="38">
    <w:abstractNumId w:val="54"/>
  </w:num>
  <w:num w:numId="39">
    <w:abstractNumId w:val="64"/>
  </w:num>
  <w:num w:numId="40">
    <w:abstractNumId w:val="67"/>
  </w:num>
  <w:num w:numId="41">
    <w:abstractNumId w:val="53"/>
  </w:num>
  <w:num w:numId="42">
    <w:abstractNumId w:val="42"/>
  </w:num>
  <w:num w:numId="43">
    <w:abstractNumId w:val="56"/>
  </w:num>
  <w:num w:numId="44">
    <w:abstractNumId w:val="18"/>
  </w:num>
  <w:num w:numId="45">
    <w:abstractNumId w:val="20"/>
  </w:num>
  <w:num w:numId="46">
    <w:abstractNumId w:val="58"/>
  </w:num>
  <w:num w:numId="47">
    <w:abstractNumId w:val="59"/>
  </w:num>
  <w:num w:numId="48">
    <w:abstractNumId w:val="40"/>
  </w:num>
  <w:num w:numId="49">
    <w:abstractNumId w:val="24"/>
  </w:num>
  <w:num w:numId="50">
    <w:abstractNumId w:val="60"/>
  </w:num>
  <w:num w:numId="51">
    <w:abstractNumId w:val="16"/>
  </w:num>
  <w:num w:numId="52">
    <w:abstractNumId w:val="9"/>
  </w:num>
  <w:num w:numId="53">
    <w:abstractNumId w:val="11"/>
  </w:num>
  <w:num w:numId="54">
    <w:abstractNumId w:val="8"/>
  </w:num>
  <w:num w:numId="55">
    <w:abstractNumId w:val="12"/>
  </w:num>
  <w:num w:numId="56">
    <w:abstractNumId w:val="44"/>
  </w:num>
  <w:num w:numId="57">
    <w:abstractNumId w:val="32"/>
  </w:num>
  <w:num w:numId="58">
    <w:abstractNumId w:val="28"/>
  </w:num>
  <w:num w:numId="59">
    <w:abstractNumId w:val="30"/>
  </w:num>
  <w:num w:numId="60">
    <w:abstractNumId w:val="41"/>
  </w:num>
  <w:num w:numId="61">
    <w:abstractNumId w:val="35"/>
  </w:num>
  <w:num w:numId="62">
    <w:abstractNumId w:val="43"/>
  </w:num>
  <w:num w:numId="63">
    <w:abstractNumId w:val="19"/>
  </w:num>
  <w:num w:numId="64">
    <w:abstractNumId w:val="69"/>
  </w:num>
  <w:num w:numId="65">
    <w:abstractNumId w:val="17"/>
  </w:num>
  <w:num w:numId="66">
    <w:abstractNumId w:val="72"/>
  </w:num>
  <w:num w:numId="67">
    <w:abstractNumId w:val="25"/>
  </w:num>
  <w:num w:numId="68">
    <w:abstractNumId w:val="37"/>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C5E"/>
    <w:rsid w:val="000034D5"/>
    <w:rsid w:val="000035A7"/>
    <w:rsid w:val="00005BCD"/>
    <w:rsid w:val="00006CE0"/>
    <w:rsid w:val="00007579"/>
    <w:rsid w:val="00007646"/>
    <w:rsid w:val="000103FE"/>
    <w:rsid w:val="000127F2"/>
    <w:rsid w:val="000143AC"/>
    <w:rsid w:val="00015570"/>
    <w:rsid w:val="0001562B"/>
    <w:rsid w:val="00015C5E"/>
    <w:rsid w:val="00020396"/>
    <w:rsid w:val="00021E5D"/>
    <w:rsid w:val="00023710"/>
    <w:rsid w:val="00023729"/>
    <w:rsid w:val="00023879"/>
    <w:rsid w:val="000241FC"/>
    <w:rsid w:val="00025396"/>
    <w:rsid w:val="000271DC"/>
    <w:rsid w:val="00031661"/>
    <w:rsid w:val="00031AAD"/>
    <w:rsid w:val="00031FED"/>
    <w:rsid w:val="00032CFB"/>
    <w:rsid w:val="00033293"/>
    <w:rsid w:val="00034B24"/>
    <w:rsid w:val="00035ED4"/>
    <w:rsid w:val="00036C84"/>
    <w:rsid w:val="00037CBC"/>
    <w:rsid w:val="00040BEB"/>
    <w:rsid w:val="000421CE"/>
    <w:rsid w:val="0004377D"/>
    <w:rsid w:val="00043C62"/>
    <w:rsid w:val="00052F2E"/>
    <w:rsid w:val="00053CF3"/>
    <w:rsid w:val="000545A5"/>
    <w:rsid w:val="00054618"/>
    <w:rsid w:val="000546DA"/>
    <w:rsid w:val="000558B2"/>
    <w:rsid w:val="0005683E"/>
    <w:rsid w:val="00060BF1"/>
    <w:rsid w:val="00061136"/>
    <w:rsid w:val="0006213C"/>
    <w:rsid w:val="00071ABE"/>
    <w:rsid w:val="00071C5A"/>
    <w:rsid w:val="00077BDE"/>
    <w:rsid w:val="000822E2"/>
    <w:rsid w:val="00083A71"/>
    <w:rsid w:val="000867D2"/>
    <w:rsid w:val="000940E5"/>
    <w:rsid w:val="0009447B"/>
    <w:rsid w:val="00095250"/>
    <w:rsid w:val="00097607"/>
    <w:rsid w:val="000A0207"/>
    <w:rsid w:val="000A0A61"/>
    <w:rsid w:val="000A156C"/>
    <w:rsid w:val="000A3700"/>
    <w:rsid w:val="000A4332"/>
    <w:rsid w:val="000A6C1F"/>
    <w:rsid w:val="000B4176"/>
    <w:rsid w:val="000B44DE"/>
    <w:rsid w:val="000B622E"/>
    <w:rsid w:val="000B7FA3"/>
    <w:rsid w:val="000C198D"/>
    <w:rsid w:val="000C2BA5"/>
    <w:rsid w:val="000C2F12"/>
    <w:rsid w:val="000C3542"/>
    <w:rsid w:val="000C3E1D"/>
    <w:rsid w:val="000D0AFB"/>
    <w:rsid w:val="000D22CF"/>
    <w:rsid w:val="000D39BF"/>
    <w:rsid w:val="000D5C56"/>
    <w:rsid w:val="000D6F3F"/>
    <w:rsid w:val="000E19A9"/>
    <w:rsid w:val="000E2F93"/>
    <w:rsid w:val="000E5468"/>
    <w:rsid w:val="000F0E6B"/>
    <w:rsid w:val="000F1774"/>
    <w:rsid w:val="000F1BC7"/>
    <w:rsid w:val="000F250A"/>
    <w:rsid w:val="000F5502"/>
    <w:rsid w:val="000F6E9C"/>
    <w:rsid w:val="00100880"/>
    <w:rsid w:val="00103994"/>
    <w:rsid w:val="00104B9A"/>
    <w:rsid w:val="00110202"/>
    <w:rsid w:val="001105A2"/>
    <w:rsid w:val="001217EE"/>
    <w:rsid w:val="001255EF"/>
    <w:rsid w:val="00125D04"/>
    <w:rsid w:val="0012713C"/>
    <w:rsid w:val="00127F2C"/>
    <w:rsid w:val="0013058D"/>
    <w:rsid w:val="00130BC5"/>
    <w:rsid w:val="00131E36"/>
    <w:rsid w:val="00134BF7"/>
    <w:rsid w:val="0013631D"/>
    <w:rsid w:val="001404A9"/>
    <w:rsid w:val="001404D0"/>
    <w:rsid w:val="0014089B"/>
    <w:rsid w:val="00141689"/>
    <w:rsid w:val="00141FB9"/>
    <w:rsid w:val="00146DC8"/>
    <w:rsid w:val="001476D3"/>
    <w:rsid w:val="0015429F"/>
    <w:rsid w:val="00155D8D"/>
    <w:rsid w:val="00156B40"/>
    <w:rsid w:val="0016225A"/>
    <w:rsid w:val="00162CF5"/>
    <w:rsid w:val="00165A1B"/>
    <w:rsid w:val="001712FE"/>
    <w:rsid w:val="00171667"/>
    <w:rsid w:val="00171ECD"/>
    <w:rsid w:val="0017242E"/>
    <w:rsid w:val="00173C4C"/>
    <w:rsid w:val="00177503"/>
    <w:rsid w:val="00180C5E"/>
    <w:rsid w:val="00180D0F"/>
    <w:rsid w:val="001813F9"/>
    <w:rsid w:val="00181F3F"/>
    <w:rsid w:val="001837F9"/>
    <w:rsid w:val="00185CAE"/>
    <w:rsid w:val="0018717A"/>
    <w:rsid w:val="00191CF9"/>
    <w:rsid w:val="001923C1"/>
    <w:rsid w:val="00194E63"/>
    <w:rsid w:val="00195599"/>
    <w:rsid w:val="00196228"/>
    <w:rsid w:val="001965EA"/>
    <w:rsid w:val="00197001"/>
    <w:rsid w:val="001978D9"/>
    <w:rsid w:val="001A0F52"/>
    <w:rsid w:val="001A2D94"/>
    <w:rsid w:val="001A3668"/>
    <w:rsid w:val="001A37A4"/>
    <w:rsid w:val="001A3D35"/>
    <w:rsid w:val="001A6BBB"/>
    <w:rsid w:val="001A740A"/>
    <w:rsid w:val="001A7F20"/>
    <w:rsid w:val="001B1B85"/>
    <w:rsid w:val="001B3EEC"/>
    <w:rsid w:val="001C2BAD"/>
    <w:rsid w:val="001C55E3"/>
    <w:rsid w:val="001C7270"/>
    <w:rsid w:val="001C77FA"/>
    <w:rsid w:val="001D0668"/>
    <w:rsid w:val="001D1AA5"/>
    <w:rsid w:val="001D2667"/>
    <w:rsid w:val="001D3DC1"/>
    <w:rsid w:val="001D3FB0"/>
    <w:rsid w:val="001D4417"/>
    <w:rsid w:val="001D46E1"/>
    <w:rsid w:val="001D60EA"/>
    <w:rsid w:val="001D6D45"/>
    <w:rsid w:val="001E0CB0"/>
    <w:rsid w:val="001E1461"/>
    <w:rsid w:val="001E16F8"/>
    <w:rsid w:val="001E1807"/>
    <w:rsid w:val="001E2331"/>
    <w:rsid w:val="001E357D"/>
    <w:rsid w:val="001E61D5"/>
    <w:rsid w:val="001F2162"/>
    <w:rsid w:val="001F332B"/>
    <w:rsid w:val="001F51BF"/>
    <w:rsid w:val="001F55D0"/>
    <w:rsid w:val="001F641D"/>
    <w:rsid w:val="00200F20"/>
    <w:rsid w:val="00202DE5"/>
    <w:rsid w:val="00210C49"/>
    <w:rsid w:val="00211136"/>
    <w:rsid w:val="002120AA"/>
    <w:rsid w:val="00213F0A"/>
    <w:rsid w:val="00215D8C"/>
    <w:rsid w:val="00221203"/>
    <w:rsid w:val="00221B7B"/>
    <w:rsid w:val="00224A3D"/>
    <w:rsid w:val="00230186"/>
    <w:rsid w:val="00230978"/>
    <w:rsid w:val="002311AE"/>
    <w:rsid w:val="0023513B"/>
    <w:rsid w:val="00235423"/>
    <w:rsid w:val="00241A70"/>
    <w:rsid w:val="00241DE1"/>
    <w:rsid w:val="00245B13"/>
    <w:rsid w:val="002469E3"/>
    <w:rsid w:val="002473A8"/>
    <w:rsid w:val="0025009A"/>
    <w:rsid w:val="0025194D"/>
    <w:rsid w:val="002535B4"/>
    <w:rsid w:val="002537B5"/>
    <w:rsid w:val="00253BC3"/>
    <w:rsid w:val="00253CC2"/>
    <w:rsid w:val="00257474"/>
    <w:rsid w:val="002603E3"/>
    <w:rsid w:val="0026196A"/>
    <w:rsid w:val="002635F5"/>
    <w:rsid w:val="002668FC"/>
    <w:rsid w:val="00267DE2"/>
    <w:rsid w:val="00270347"/>
    <w:rsid w:val="0027522A"/>
    <w:rsid w:val="00277FD3"/>
    <w:rsid w:val="00285C70"/>
    <w:rsid w:val="00286688"/>
    <w:rsid w:val="00290472"/>
    <w:rsid w:val="002905FE"/>
    <w:rsid w:val="00291CC4"/>
    <w:rsid w:val="00296908"/>
    <w:rsid w:val="002A14A3"/>
    <w:rsid w:val="002A40D8"/>
    <w:rsid w:val="002A5197"/>
    <w:rsid w:val="002A5B1B"/>
    <w:rsid w:val="002B125B"/>
    <w:rsid w:val="002B3E87"/>
    <w:rsid w:val="002B59AA"/>
    <w:rsid w:val="002C057F"/>
    <w:rsid w:val="002C2FE5"/>
    <w:rsid w:val="002C38D7"/>
    <w:rsid w:val="002C4947"/>
    <w:rsid w:val="002D1491"/>
    <w:rsid w:val="002D414E"/>
    <w:rsid w:val="002D7F46"/>
    <w:rsid w:val="002E051F"/>
    <w:rsid w:val="002E2383"/>
    <w:rsid w:val="002E33AD"/>
    <w:rsid w:val="002E36A5"/>
    <w:rsid w:val="002E3E42"/>
    <w:rsid w:val="002E47DA"/>
    <w:rsid w:val="002E6956"/>
    <w:rsid w:val="002E783F"/>
    <w:rsid w:val="002F0646"/>
    <w:rsid w:val="002F2607"/>
    <w:rsid w:val="002F2D24"/>
    <w:rsid w:val="002F2D5C"/>
    <w:rsid w:val="002F73F1"/>
    <w:rsid w:val="0030209E"/>
    <w:rsid w:val="00305AC6"/>
    <w:rsid w:val="003119DD"/>
    <w:rsid w:val="003144D3"/>
    <w:rsid w:val="003146BB"/>
    <w:rsid w:val="00315D6A"/>
    <w:rsid w:val="00321B75"/>
    <w:rsid w:val="00331D28"/>
    <w:rsid w:val="00332A6A"/>
    <w:rsid w:val="0033457D"/>
    <w:rsid w:val="003369B4"/>
    <w:rsid w:val="00340A8E"/>
    <w:rsid w:val="00341C10"/>
    <w:rsid w:val="003446C4"/>
    <w:rsid w:val="00344A76"/>
    <w:rsid w:val="00353224"/>
    <w:rsid w:val="0035490D"/>
    <w:rsid w:val="00354AD4"/>
    <w:rsid w:val="003569D8"/>
    <w:rsid w:val="00362B53"/>
    <w:rsid w:val="00362C51"/>
    <w:rsid w:val="0036656B"/>
    <w:rsid w:val="003703A8"/>
    <w:rsid w:val="00371E91"/>
    <w:rsid w:val="003738E6"/>
    <w:rsid w:val="00375FCF"/>
    <w:rsid w:val="00377371"/>
    <w:rsid w:val="00380CDE"/>
    <w:rsid w:val="00382B70"/>
    <w:rsid w:val="00383556"/>
    <w:rsid w:val="00383B59"/>
    <w:rsid w:val="0038589B"/>
    <w:rsid w:val="0038759D"/>
    <w:rsid w:val="003915A1"/>
    <w:rsid w:val="00393092"/>
    <w:rsid w:val="003957AE"/>
    <w:rsid w:val="00396D2C"/>
    <w:rsid w:val="003976B1"/>
    <w:rsid w:val="003A08CA"/>
    <w:rsid w:val="003A0AC4"/>
    <w:rsid w:val="003A1E15"/>
    <w:rsid w:val="003A22C0"/>
    <w:rsid w:val="003A6BE5"/>
    <w:rsid w:val="003B0311"/>
    <w:rsid w:val="003B044F"/>
    <w:rsid w:val="003B2F2C"/>
    <w:rsid w:val="003B3952"/>
    <w:rsid w:val="003B3BEF"/>
    <w:rsid w:val="003C1A39"/>
    <w:rsid w:val="003C331E"/>
    <w:rsid w:val="003C363B"/>
    <w:rsid w:val="003C3A69"/>
    <w:rsid w:val="003C4738"/>
    <w:rsid w:val="003C65DB"/>
    <w:rsid w:val="003C7660"/>
    <w:rsid w:val="003C7967"/>
    <w:rsid w:val="003D0430"/>
    <w:rsid w:val="003D6BFB"/>
    <w:rsid w:val="003D769C"/>
    <w:rsid w:val="003D7E72"/>
    <w:rsid w:val="003E3C97"/>
    <w:rsid w:val="003E5B71"/>
    <w:rsid w:val="003F3D12"/>
    <w:rsid w:val="003F5F1F"/>
    <w:rsid w:val="003F68DD"/>
    <w:rsid w:val="0040125D"/>
    <w:rsid w:val="00402AB5"/>
    <w:rsid w:val="00403D5F"/>
    <w:rsid w:val="00405B73"/>
    <w:rsid w:val="00405C5F"/>
    <w:rsid w:val="00407D81"/>
    <w:rsid w:val="00411E0C"/>
    <w:rsid w:val="004124AD"/>
    <w:rsid w:val="00412809"/>
    <w:rsid w:val="00413DF5"/>
    <w:rsid w:val="00416FB4"/>
    <w:rsid w:val="004173C8"/>
    <w:rsid w:val="004204B1"/>
    <w:rsid w:val="00422853"/>
    <w:rsid w:val="00424F28"/>
    <w:rsid w:val="00427EE3"/>
    <w:rsid w:val="00430246"/>
    <w:rsid w:val="00431160"/>
    <w:rsid w:val="004317D6"/>
    <w:rsid w:val="0043413E"/>
    <w:rsid w:val="00434DBC"/>
    <w:rsid w:val="00436DF7"/>
    <w:rsid w:val="004419C5"/>
    <w:rsid w:val="00443F79"/>
    <w:rsid w:val="00444694"/>
    <w:rsid w:val="0045054E"/>
    <w:rsid w:val="0045110A"/>
    <w:rsid w:val="004542B0"/>
    <w:rsid w:val="004555EE"/>
    <w:rsid w:val="00455673"/>
    <w:rsid w:val="00455BDD"/>
    <w:rsid w:val="00457092"/>
    <w:rsid w:val="00457DBC"/>
    <w:rsid w:val="00463342"/>
    <w:rsid w:val="00467237"/>
    <w:rsid w:val="00470D59"/>
    <w:rsid w:val="00471115"/>
    <w:rsid w:val="004713CC"/>
    <w:rsid w:val="0047173E"/>
    <w:rsid w:val="00474959"/>
    <w:rsid w:val="00476626"/>
    <w:rsid w:val="00477226"/>
    <w:rsid w:val="004805A1"/>
    <w:rsid w:val="00485185"/>
    <w:rsid w:val="0048569F"/>
    <w:rsid w:val="00485E4B"/>
    <w:rsid w:val="00486AB9"/>
    <w:rsid w:val="00490828"/>
    <w:rsid w:val="00492620"/>
    <w:rsid w:val="00496C13"/>
    <w:rsid w:val="00496D81"/>
    <w:rsid w:val="004A1BD3"/>
    <w:rsid w:val="004A3CED"/>
    <w:rsid w:val="004A402B"/>
    <w:rsid w:val="004A458B"/>
    <w:rsid w:val="004A47DE"/>
    <w:rsid w:val="004A6EC9"/>
    <w:rsid w:val="004B315F"/>
    <w:rsid w:val="004B3AF6"/>
    <w:rsid w:val="004B6355"/>
    <w:rsid w:val="004B6D64"/>
    <w:rsid w:val="004C0027"/>
    <w:rsid w:val="004C2B66"/>
    <w:rsid w:val="004D3BCB"/>
    <w:rsid w:val="004D7374"/>
    <w:rsid w:val="004D7759"/>
    <w:rsid w:val="004E08AC"/>
    <w:rsid w:val="004E0A27"/>
    <w:rsid w:val="004E145E"/>
    <w:rsid w:val="004E5672"/>
    <w:rsid w:val="004E5B30"/>
    <w:rsid w:val="004F07FA"/>
    <w:rsid w:val="004F0B51"/>
    <w:rsid w:val="004F4893"/>
    <w:rsid w:val="004F7213"/>
    <w:rsid w:val="004F776E"/>
    <w:rsid w:val="004F7ADD"/>
    <w:rsid w:val="005018DF"/>
    <w:rsid w:val="00501F1E"/>
    <w:rsid w:val="00502E9C"/>
    <w:rsid w:val="00503339"/>
    <w:rsid w:val="005040C9"/>
    <w:rsid w:val="005049BE"/>
    <w:rsid w:val="0050601C"/>
    <w:rsid w:val="00506677"/>
    <w:rsid w:val="005134F6"/>
    <w:rsid w:val="005168DE"/>
    <w:rsid w:val="00517AB2"/>
    <w:rsid w:val="0052130A"/>
    <w:rsid w:val="00522C8E"/>
    <w:rsid w:val="00522C92"/>
    <w:rsid w:val="00523502"/>
    <w:rsid w:val="00523DFE"/>
    <w:rsid w:val="00524749"/>
    <w:rsid w:val="005248AD"/>
    <w:rsid w:val="00524AC8"/>
    <w:rsid w:val="00525609"/>
    <w:rsid w:val="005311C7"/>
    <w:rsid w:val="00533A63"/>
    <w:rsid w:val="00534E54"/>
    <w:rsid w:val="005353F4"/>
    <w:rsid w:val="005360EC"/>
    <w:rsid w:val="00536161"/>
    <w:rsid w:val="00542414"/>
    <w:rsid w:val="00543291"/>
    <w:rsid w:val="005451CE"/>
    <w:rsid w:val="00546445"/>
    <w:rsid w:val="00546EF2"/>
    <w:rsid w:val="0055372F"/>
    <w:rsid w:val="005569B7"/>
    <w:rsid w:val="0056051E"/>
    <w:rsid w:val="00562319"/>
    <w:rsid w:val="00562AB9"/>
    <w:rsid w:val="00567410"/>
    <w:rsid w:val="00567C48"/>
    <w:rsid w:val="005746B9"/>
    <w:rsid w:val="00575248"/>
    <w:rsid w:val="005808F9"/>
    <w:rsid w:val="00580EA1"/>
    <w:rsid w:val="00582778"/>
    <w:rsid w:val="00583CFF"/>
    <w:rsid w:val="00584B0A"/>
    <w:rsid w:val="0058682B"/>
    <w:rsid w:val="00586EA7"/>
    <w:rsid w:val="00592542"/>
    <w:rsid w:val="00593735"/>
    <w:rsid w:val="00594CCD"/>
    <w:rsid w:val="00596E93"/>
    <w:rsid w:val="005A572F"/>
    <w:rsid w:val="005A739F"/>
    <w:rsid w:val="005A7F3F"/>
    <w:rsid w:val="005B1401"/>
    <w:rsid w:val="005B2303"/>
    <w:rsid w:val="005B2EF9"/>
    <w:rsid w:val="005B724E"/>
    <w:rsid w:val="005B7E6E"/>
    <w:rsid w:val="005C444A"/>
    <w:rsid w:val="005C44D0"/>
    <w:rsid w:val="005C65B1"/>
    <w:rsid w:val="005D06F2"/>
    <w:rsid w:val="005D58D2"/>
    <w:rsid w:val="005D7976"/>
    <w:rsid w:val="005E2A0F"/>
    <w:rsid w:val="005E3E79"/>
    <w:rsid w:val="005E71FA"/>
    <w:rsid w:val="005F1CB4"/>
    <w:rsid w:val="005F5C12"/>
    <w:rsid w:val="005F78F0"/>
    <w:rsid w:val="00602324"/>
    <w:rsid w:val="006042EC"/>
    <w:rsid w:val="0060435D"/>
    <w:rsid w:val="006048E9"/>
    <w:rsid w:val="00610710"/>
    <w:rsid w:val="00610FE7"/>
    <w:rsid w:val="00616C15"/>
    <w:rsid w:val="006208D0"/>
    <w:rsid w:val="00624D3B"/>
    <w:rsid w:val="00626270"/>
    <w:rsid w:val="00626692"/>
    <w:rsid w:val="00630A41"/>
    <w:rsid w:val="006312BA"/>
    <w:rsid w:val="006315F0"/>
    <w:rsid w:val="0063182A"/>
    <w:rsid w:val="00632333"/>
    <w:rsid w:val="00635B2B"/>
    <w:rsid w:val="00636E76"/>
    <w:rsid w:val="0063787B"/>
    <w:rsid w:val="00637D26"/>
    <w:rsid w:val="00641A32"/>
    <w:rsid w:val="006464BD"/>
    <w:rsid w:val="006517D7"/>
    <w:rsid w:val="00653F13"/>
    <w:rsid w:val="00655135"/>
    <w:rsid w:val="0065778E"/>
    <w:rsid w:val="00667CCC"/>
    <w:rsid w:val="006701E9"/>
    <w:rsid w:val="006714D9"/>
    <w:rsid w:val="00673067"/>
    <w:rsid w:val="00673D62"/>
    <w:rsid w:val="00675781"/>
    <w:rsid w:val="006804ED"/>
    <w:rsid w:val="00680CFC"/>
    <w:rsid w:val="006844A0"/>
    <w:rsid w:val="0069059A"/>
    <w:rsid w:val="0069120F"/>
    <w:rsid w:val="00694502"/>
    <w:rsid w:val="00697269"/>
    <w:rsid w:val="0069767A"/>
    <w:rsid w:val="00697C98"/>
    <w:rsid w:val="006A0AFE"/>
    <w:rsid w:val="006A4DA9"/>
    <w:rsid w:val="006A50CD"/>
    <w:rsid w:val="006A5EE3"/>
    <w:rsid w:val="006A749A"/>
    <w:rsid w:val="006A7D19"/>
    <w:rsid w:val="006B0B30"/>
    <w:rsid w:val="006B6985"/>
    <w:rsid w:val="006B6D8A"/>
    <w:rsid w:val="006B7C02"/>
    <w:rsid w:val="006C5992"/>
    <w:rsid w:val="006C7DDE"/>
    <w:rsid w:val="006D0B51"/>
    <w:rsid w:val="006D0F6C"/>
    <w:rsid w:val="006D12E6"/>
    <w:rsid w:val="006D1F76"/>
    <w:rsid w:val="006D3500"/>
    <w:rsid w:val="006D4B1B"/>
    <w:rsid w:val="006E0F59"/>
    <w:rsid w:val="006E198F"/>
    <w:rsid w:val="006E390F"/>
    <w:rsid w:val="006E416B"/>
    <w:rsid w:val="006E6357"/>
    <w:rsid w:val="006E7B15"/>
    <w:rsid w:val="006F0CFC"/>
    <w:rsid w:val="006F0E70"/>
    <w:rsid w:val="006F15AC"/>
    <w:rsid w:val="006F2433"/>
    <w:rsid w:val="006F2E42"/>
    <w:rsid w:val="006F39A5"/>
    <w:rsid w:val="006F47AC"/>
    <w:rsid w:val="006F480F"/>
    <w:rsid w:val="006F5457"/>
    <w:rsid w:val="00703049"/>
    <w:rsid w:val="0070331C"/>
    <w:rsid w:val="00705691"/>
    <w:rsid w:val="007071BD"/>
    <w:rsid w:val="00710B40"/>
    <w:rsid w:val="0072089C"/>
    <w:rsid w:val="00722A82"/>
    <w:rsid w:val="0072722C"/>
    <w:rsid w:val="00727909"/>
    <w:rsid w:val="007279FD"/>
    <w:rsid w:val="00732733"/>
    <w:rsid w:val="00732DFB"/>
    <w:rsid w:val="007376DA"/>
    <w:rsid w:val="007377CC"/>
    <w:rsid w:val="00741B6B"/>
    <w:rsid w:val="00743CB3"/>
    <w:rsid w:val="00745D38"/>
    <w:rsid w:val="00746015"/>
    <w:rsid w:val="0075099C"/>
    <w:rsid w:val="007509E9"/>
    <w:rsid w:val="007525B5"/>
    <w:rsid w:val="007525F3"/>
    <w:rsid w:val="00752DCD"/>
    <w:rsid w:val="00754070"/>
    <w:rsid w:val="00756E45"/>
    <w:rsid w:val="00761899"/>
    <w:rsid w:val="0076197D"/>
    <w:rsid w:val="0076263A"/>
    <w:rsid w:val="00764881"/>
    <w:rsid w:val="00764C72"/>
    <w:rsid w:val="00765C00"/>
    <w:rsid w:val="00766A45"/>
    <w:rsid w:val="00766ADD"/>
    <w:rsid w:val="00771514"/>
    <w:rsid w:val="0077245A"/>
    <w:rsid w:val="00772F97"/>
    <w:rsid w:val="00774C6C"/>
    <w:rsid w:val="0077566B"/>
    <w:rsid w:val="007809BE"/>
    <w:rsid w:val="00781B23"/>
    <w:rsid w:val="007826BB"/>
    <w:rsid w:val="007827EE"/>
    <w:rsid w:val="007839D3"/>
    <w:rsid w:val="00783FB2"/>
    <w:rsid w:val="00785610"/>
    <w:rsid w:val="00785A80"/>
    <w:rsid w:val="00786F4D"/>
    <w:rsid w:val="00790844"/>
    <w:rsid w:val="00796C2F"/>
    <w:rsid w:val="007A3969"/>
    <w:rsid w:val="007A3F11"/>
    <w:rsid w:val="007A5794"/>
    <w:rsid w:val="007A6B46"/>
    <w:rsid w:val="007B175D"/>
    <w:rsid w:val="007B27AA"/>
    <w:rsid w:val="007B3900"/>
    <w:rsid w:val="007B3991"/>
    <w:rsid w:val="007B4710"/>
    <w:rsid w:val="007B54A0"/>
    <w:rsid w:val="007B5F95"/>
    <w:rsid w:val="007D4DCB"/>
    <w:rsid w:val="007D5C85"/>
    <w:rsid w:val="007D7D85"/>
    <w:rsid w:val="007E2031"/>
    <w:rsid w:val="007E4984"/>
    <w:rsid w:val="007E7259"/>
    <w:rsid w:val="007F06AA"/>
    <w:rsid w:val="007F5253"/>
    <w:rsid w:val="007F557E"/>
    <w:rsid w:val="008014A4"/>
    <w:rsid w:val="00802457"/>
    <w:rsid w:val="008030C8"/>
    <w:rsid w:val="008045CA"/>
    <w:rsid w:val="00804C38"/>
    <w:rsid w:val="00805A83"/>
    <w:rsid w:val="00807232"/>
    <w:rsid w:val="00811E73"/>
    <w:rsid w:val="00812732"/>
    <w:rsid w:val="0081352B"/>
    <w:rsid w:val="00815B1A"/>
    <w:rsid w:val="00815D8E"/>
    <w:rsid w:val="0081738F"/>
    <w:rsid w:val="00820D73"/>
    <w:rsid w:val="00821AC0"/>
    <w:rsid w:val="00822E13"/>
    <w:rsid w:val="00823EAA"/>
    <w:rsid w:val="00825336"/>
    <w:rsid w:val="00827957"/>
    <w:rsid w:val="008300BE"/>
    <w:rsid w:val="008302A9"/>
    <w:rsid w:val="0083371C"/>
    <w:rsid w:val="00833D44"/>
    <w:rsid w:val="008341F4"/>
    <w:rsid w:val="00835F48"/>
    <w:rsid w:val="00837B52"/>
    <w:rsid w:val="008412D3"/>
    <w:rsid w:val="008434FF"/>
    <w:rsid w:val="00843BFA"/>
    <w:rsid w:val="008446C4"/>
    <w:rsid w:val="00844A2E"/>
    <w:rsid w:val="00844D70"/>
    <w:rsid w:val="0085349A"/>
    <w:rsid w:val="0085436B"/>
    <w:rsid w:val="0085596B"/>
    <w:rsid w:val="00856287"/>
    <w:rsid w:val="00856A79"/>
    <w:rsid w:val="00857B1A"/>
    <w:rsid w:val="008605BE"/>
    <w:rsid w:val="00863075"/>
    <w:rsid w:val="00864416"/>
    <w:rsid w:val="00864659"/>
    <w:rsid w:val="0086466D"/>
    <w:rsid w:val="00864E3C"/>
    <w:rsid w:val="008654BE"/>
    <w:rsid w:val="0086621D"/>
    <w:rsid w:val="008668BA"/>
    <w:rsid w:val="00877EFE"/>
    <w:rsid w:val="00880096"/>
    <w:rsid w:val="00880A3B"/>
    <w:rsid w:val="008816EE"/>
    <w:rsid w:val="00884A75"/>
    <w:rsid w:val="0088651D"/>
    <w:rsid w:val="00886892"/>
    <w:rsid w:val="00890289"/>
    <w:rsid w:val="00891F1E"/>
    <w:rsid w:val="00895437"/>
    <w:rsid w:val="008A1F5C"/>
    <w:rsid w:val="008B2F5B"/>
    <w:rsid w:val="008B30C2"/>
    <w:rsid w:val="008B32D3"/>
    <w:rsid w:val="008B4537"/>
    <w:rsid w:val="008B5745"/>
    <w:rsid w:val="008B576F"/>
    <w:rsid w:val="008B700F"/>
    <w:rsid w:val="008B7771"/>
    <w:rsid w:val="008C5285"/>
    <w:rsid w:val="008D36F2"/>
    <w:rsid w:val="008D3B78"/>
    <w:rsid w:val="008D5521"/>
    <w:rsid w:val="008D6BCF"/>
    <w:rsid w:val="008D7541"/>
    <w:rsid w:val="008E3216"/>
    <w:rsid w:val="008F07DF"/>
    <w:rsid w:val="008F21F8"/>
    <w:rsid w:val="008F3621"/>
    <w:rsid w:val="00901B20"/>
    <w:rsid w:val="00903F68"/>
    <w:rsid w:val="009065A2"/>
    <w:rsid w:val="009070B7"/>
    <w:rsid w:val="00907839"/>
    <w:rsid w:val="00910B7D"/>
    <w:rsid w:val="00912FAC"/>
    <w:rsid w:val="00926478"/>
    <w:rsid w:val="00926C05"/>
    <w:rsid w:val="00930C37"/>
    <w:rsid w:val="00931752"/>
    <w:rsid w:val="00935AC4"/>
    <w:rsid w:val="00935F98"/>
    <w:rsid w:val="0093772A"/>
    <w:rsid w:val="00937770"/>
    <w:rsid w:val="009377C7"/>
    <w:rsid w:val="009378CA"/>
    <w:rsid w:val="009411BD"/>
    <w:rsid w:val="00941B7E"/>
    <w:rsid w:val="009421BC"/>
    <w:rsid w:val="00942902"/>
    <w:rsid w:val="0094380E"/>
    <w:rsid w:val="00944377"/>
    <w:rsid w:val="0094530A"/>
    <w:rsid w:val="00946AD8"/>
    <w:rsid w:val="009474A4"/>
    <w:rsid w:val="00954975"/>
    <w:rsid w:val="00956350"/>
    <w:rsid w:val="00957CAB"/>
    <w:rsid w:val="00961895"/>
    <w:rsid w:val="00963DE5"/>
    <w:rsid w:val="00965132"/>
    <w:rsid w:val="0096709F"/>
    <w:rsid w:val="00970CB0"/>
    <w:rsid w:val="00971877"/>
    <w:rsid w:val="00971A8A"/>
    <w:rsid w:val="009744C4"/>
    <w:rsid w:val="00974BA6"/>
    <w:rsid w:val="00975945"/>
    <w:rsid w:val="009773F3"/>
    <w:rsid w:val="00980516"/>
    <w:rsid w:val="00982422"/>
    <w:rsid w:val="00984188"/>
    <w:rsid w:val="0098790B"/>
    <w:rsid w:val="00987A29"/>
    <w:rsid w:val="009918E5"/>
    <w:rsid w:val="00991E6D"/>
    <w:rsid w:val="00993B1B"/>
    <w:rsid w:val="0099679A"/>
    <w:rsid w:val="00997E7E"/>
    <w:rsid w:val="009A138D"/>
    <w:rsid w:val="009A22CE"/>
    <w:rsid w:val="009A39C9"/>
    <w:rsid w:val="009A45EF"/>
    <w:rsid w:val="009A4BCB"/>
    <w:rsid w:val="009A5168"/>
    <w:rsid w:val="009A649F"/>
    <w:rsid w:val="009B7849"/>
    <w:rsid w:val="009C0CFA"/>
    <w:rsid w:val="009C3B17"/>
    <w:rsid w:val="009D0748"/>
    <w:rsid w:val="009D1854"/>
    <w:rsid w:val="009D3148"/>
    <w:rsid w:val="009D3B20"/>
    <w:rsid w:val="009D3FBB"/>
    <w:rsid w:val="009D5CFE"/>
    <w:rsid w:val="009E07F7"/>
    <w:rsid w:val="009E099B"/>
    <w:rsid w:val="009E0A45"/>
    <w:rsid w:val="009E316D"/>
    <w:rsid w:val="009F1549"/>
    <w:rsid w:val="009F32BC"/>
    <w:rsid w:val="00A007CA"/>
    <w:rsid w:val="00A02254"/>
    <w:rsid w:val="00A0250D"/>
    <w:rsid w:val="00A045D5"/>
    <w:rsid w:val="00A0579D"/>
    <w:rsid w:val="00A057F1"/>
    <w:rsid w:val="00A05B4C"/>
    <w:rsid w:val="00A12D33"/>
    <w:rsid w:val="00A21A17"/>
    <w:rsid w:val="00A25036"/>
    <w:rsid w:val="00A25379"/>
    <w:rsid w:val="00A257D2"/>
    <w:rsid w:val="00A26662"/>
    <w:rsid w:val="00A31550"/>
    <w:rsid w:val="00A31DDA"/>
    <w:rsid w:val="00A31FF7"/>
    <w:rsid w:val="00A3558A"/>
    <w:rsid w:val="00A368EA"/>
    <w:rsid w:val="00A425E4"/>
    <w:rsid w:val="00A42AF4"/>
    <w:rsid w:val="00A442D7"/>
    <w:rsid w:val="00A473F6"/>
    <w:rsid w:val="00A47DEE"/>
    <w:rsid w:val="00A50754"/>
    <w:rsid w:val="00A53C43"/>
    <w:rsid w:val="00A5418C"/>
    <w:rsid w:val="00A56060"/>
    <w:rsid w:val="00A56CC2"/>
    <w:rsid w:val="00A5753F"/>
    <w:rsid w:val="00A619A4"/>
    <w:rsid w:val="00A619B9"/>
    <w:rsid w:val="00A625FE"/>
    <w:rsid w:val="00A62AD3"/>
    <w:rsid w:val="00A6706E"/>
    <w:rsid w:val="00A6782B"/>
    <w:rsid w:val="00A72D4F"/>
    <w:rsid w:val="00A73F31"/>
    <w:rsid w:val="00A74DD4"/>
    <w:rsid w:val="00A75A01"/>
    <w:rsid w:val="00A76839"/>
    <w:rsid w:val="00A851FE"/>
    <w:rsid w:val="00A852AC"/>
    <w:rsid w:val="00A863E9"/>
    <w:rsid w:val="00A90DB7"/>
    <w:rsid w:val="00A91EED"/>
    <w:rsid w:val="00A936BF"/>
    <w:rsid w:val="00A943DF"/>
    <w:rsid w:val="00A94684"/>
    <w:rsid w:val="00A94BEE"/>
    <w:rsid w:val="00A963F7"/>
    <w:rsid w:val="00A965D9"/>
    <w:rsid w:val="00A96FB6"/>
    <w:rsid w:val="00AA2D71"/>
    <w:rsid w:val="00AA4652"/>
    <w:rsid w:val="00AA472A"/>
    <w:rsid w:val="00AA605E"/>
    <w:rsid w:val="00AB1182"/>
    <w:rsid w:val="00AB2709"/>
    <w:rsid w:val="00AB42FB"/>
    <w:rsid w:val="00AB72AF"/>
    <w:rsid w:val="00AC286C"/>
    <w:rsid w:val="00AC2C6D"/>
    <w:rsid w:val="00AC3713"/>
    <w:rsid w:val="00AC66F5"/>
    <w:rsid w:val="00AD2477"/>
    <w:rsid w:val="00AD2A68"/>
    <w:rsid w:val="00AE0706"/>
    <w:rsid w:val="00AE2DA2"/>
    <w:rsid w:val="00AE2EE4"/>
    <w:rsid w:val="00AE4430"/>
    <w:rsid w:val="00AE4F4E"/>
    <w:rsid w:val="00AE5CC8"/>
    <w:rsid w:val="00AE6ED4"/>
    <w:rsid w:val="00AE75E7"/>
    <w:rsid w:val="00AF4F36"/>
    <w:rsid w:val="00AF6502"/>
    <w:rsid w:val="00B01CA0"/>
    <w:rsid w:val="00B01DC1"/>
    <w:rsid w:val="00B044D5"/>
    <w:rsid w:val="00B0661D"/>
    <w:rsid w:val="00B10759"/>
    <w:rsid w:val="00B11416"/>
    <w:rsid w:val="00B1183B"/>
    <w:rsid w:val="00B11FF3"/>
    <w:rsid w:val="00B12610"/>
    <w:rsid w:val="00B126E1"/>
    <w:rsid w:val="00B1461F"/>
    <w:rsid w:val="00B14721"/>
    <w:rsid w:val="00B15365"/>
    <w:rsid w:val="00B177CC"/>
    <w:rsid w:val="00B202CC"/>
    <w:rsid w:val="00B21759"/>
    <w:rsid w:val="00B21BB4"/>
    <w:rsid w:val="00B2208F"/>
    <w:rsid w:val="00B227A1"/>
    <w:rsid w:val="00B228C7"/>
    <w:rsid w:val="00B241C1"/>
    <w:rsid w:val="00B255C9"/>
    <w:rsid w:val="00B26340"/>
    <w:rsid w:val="00B2686F"/>
    <w:rsid w:val="00B269AE"/>
    <w:rsid w:val="00B26D01"/>
    <w:rsid w:val="00B272C7"/>
    <w:rsid w:val="00B33A5C"/>
    <w:rsid w:val="00B3412C"/>
    <w:rsid w:val="00B35B54"/>
    <w:rsid w:val="00B35C21"/>
    <w:rsid w:val="00B37339"/>
    <w:rsid w:val="00B459C5"/>
    <w:rsid w:val="00B45F56"/>
    <w:rsid w:val="00B46790"/>
    <w:rsid w:val="00B472C9"/>
    <w:rsid w:val="00B57384"/>
    <w:rsid w:val="00B60AA1"/>
    <w:rsid w:val="00B657E4"/>
    <w:rsid w:val="00B65FE4"/>
    <w:rsid w:val="00B66CBC"/>
    <w:rsid w:val="00B7281D"/>
    <w:rsid w:val="00B76923"/>
    <w:rsid w:val="00B76B3D"/>
    <w:rsid w:val="00B76E9B"/>
    <w:rsid w:val="00B80EE5"/>
    <w:rsid w:val="00B83110"/>
    <w:rsid w:val="00B831E7"/>
    <w:rsid w:val="00B871EF"/>
    <w:rsid w:val="00B93675"/>
    <w:rsid w:val="00B940F3"/>
    <w:rsid w:val="00B94903"/>
    <w:rsid w:val="00B97428"/>
    <w:rsid w:val="00B97938"/>
    <w:rsid w:val="00BA44DC"/>
    <w:rsid w:val="00BA6BA6"/>
    <w:rsid w:val="00BA7503"/>
    <w:rsid w:val="00BA760E"/>
    <w:rsid w:val="00BB0985"/>
    <w:rsid w:val="00BB20D6"/>
    <w:rsid w:val="00BB211A"/>
    <w:rsid w:val="00BB564D"/>
    <w:rsid w:val="00BC2FB9"/>
    <w:rsid w:val="00BC387C"/>
    <w:rsid w:val="00BC4092"/>
    <w:rsid w:val="00BD6788"/>
    <w:rsid w:val="00BD6C13"/>
    <w:rsid w:val="00BE169C"/>
    <w:rsid w:val="00BE2B1A"/>
    <w:rsid w:val="00BE406F"/>
    <w:rsid w:val="00BE4440"/>
    <w:rsid w:val="00BE5AF8"/>
    <w:rsid w:val="00BE70BE"/>
    <w:rsid w:val="00BF339C"/>
    <w:rsid w:val="00BF3C4A"/>
    <w:rsid w:val="00BF4E7F"/>
    <w:rsid w:val="00BF55DF"/>
    <w:rsid w:val="00BF576C"/>
    <w:rsid w:val="00BF629F"/>
    <w:rsid w:val="00BF6D9D"/>
    <w:rsid w:val="00BF7A48"/>
    <w:rsid w:val="00C0307D"/>
    <w:rsid w:val="00C0379A"/>
    <w:rsid w:val="00C04CB9"/>
    <w:rsid w:val="00C10AFF"/>
    <w:rsid w:val="00C21ADD"/>
    <w:rsid w:val="00C2648F"/>
    <w:rsid w:val="00C2712D"/>
    <w:rsid w:val="00C30817"/>
    <w:rsid w:val="00C31067"/>
    <w:rsid w:val="00C33EF7"/>
    <w:rsid w:val="00C37E76"/>
    <w:rsid w:val="00C40A5A"/>
    <w:rsid w:val="00C42C95"/>
    <w:rsid w:val="00C43878"/>
    <w:rsid w:val="00C43A2F"/>
    <w:rsid w:val="00C46253"/>
    <w:rsid w:val="00C512DE"/>
    <w:rsid w:val="00C531AE"/>
    <w:rsid w:val="00C5711D"/>
    <w:rsid w:val="00C57432"/>
    <w:rsid w:val="00C60063"/>
    <w:rsid w:val="00C64C8B"/>
    <w:rsid w:val="00C70771"/>
    <w:rsid w:val="00C719FC"/>
    <w:rsid w:val="00C7280B"/>
    <w:rsid w:val="00C740F1"/>
    <w:rsid w:val="00C77FEF"/>
    <w:rsid w:val="00C812D6"/>
    <w:rsid w:val="00C840EE"/>
    <w:rsid w:val="00C8444F"/>
    <w:rsid w:val="00C86568"/>
    <w:rsid w:val="00C90E6C"/>
    <w:rsid w:val="00C91E36"/>
    <w:rsid w:val="00C94178"/>
    <w:rsid w:val="00C94C51"/>
    <w:rsid w:val="00C96019"/>
    <w:rsid w:val="00CA00F9"/>
    <w:rsid w:val="00CA492B"/>
    <w:rsid w:val="00CA7FF5"/>
    <w:rsid w:val="00CB1D3A"/>
    <w:rsid w:val="00CB352F"/>
    <w:rsid w:val="00CB40A9"/>
    <w:rsid w:val="00CC4165"/>
    <w:rsid w:val="00CC5E41"/>
    <w:rsid w:val="00CD313D"/>
    <w:rsid w:val="00CD48C7"/>
    <w:rsid w:val="00CD49B5"/>
    <w:rsid w:val="00CD79F9"/>
    <w:rsid w:val="00CE04B9"/>
    <w:rsid w:val="00CE115C"/>
    <w:rsid w:val="00CE1E0E"/>
    <w:rsid w:val="00CE237B"/>
    <w:rsid w:val="00CE5173"/>
    <w:rsid w:val="00CE6CCF"/>
    <w:rsid w:val="00CF3917"/>
    <w:rsid w:val="00CF5B5D"/>
    <w:rsid w:val="00CF7A54"/>
    <w:rsid w:val="00CF7E67"/>
    <w:rsid w:val="00D020FA"/>
    <w:rsid w:val="00D02588"/>
    <w:rsid w:val="00D02CBC"/>
    <w:rsid w:val="00D067B4"/>
    <w:rsid w:val="00D07D1C"/>
    <w:rsid w:val="00D11718"/>
    <w:rsid w:val="00D11E8B"/>
    <w:rsid w:val="00D12D89"/>
    <w:rsid w:val="00D13A56"/>
    <w:rsid w:val="00D14A54"/>
    <w:rsid w:val="00D14F0F"/>
    <w:rsid w:val="00D15602"/>
    <w:rsid w:val="00D2027D"/>
    <w:rsid w:val="00D203F7"/>
    <w:rsid w:val="00D20B9A"/>
    <w:rsid w:val="00D20FB3"/>
    <w:rsid w:val="00D22D1F"/>
    <w:rsid w:val="00D24853"/>
    <w:rsid w:val="00D24E9F"/>
    <w:rsid w:val="00D25353"/>
    <w:rsid w:val="00D25605"/>
    <w:rsid w:val="00D25832"/>
    <w:rsid w:val="00D30947"/>
    <w:rsid w:val="00D3107A"/>
    <w:rsid w:val="00D32E0C"/>
    <w:rsid w:val="00D3350C"/>
    <w:rsid w:val="00D348BD"/>
    <w:rsid w:val="00D363F2"/>
    <w:rsid w:val="00D37606"/>
    <w:rsid w:val="00D40466"/>
    <w:rsid w:val="00D412E2"/>
    <w:rsid w:val="00D41B78"/>
    <w:rsid w:val="00D426A3"/>
    <w:rsid w:val="00D477E2"/>
    <w:rsid w:val="00D50877"/>
    <w:rsid w:val="00D513C3"/>
    <w:rsid w:val="00D53E71"/>
    <w:rsid w:val="00D53F50"/>
    <w:rsid w:val="00D5457E"/>
    <w:rsid w:val="00D62DF3"/>
    <w:rsid w:val="00D635A4"/>
    <w:rsid w:val="00D63793"/>
    <w:rsid w:val="00D63E74"/>
    <w:rsid w:val="00D64615"/>
    <w:rsid w:val="00D66BC1"/>
    <w:rsid w:val="00D7130F"/>
    <w:rsid w:val="00D71BAA"/>
    <w:rsid w:val="00D71FBE"/>
    <w:rsid w:val="00D72838"/>
    <w:rsid w:val="00D73B3F"/>
    <w:rsid w:val="00D8030D"/>
    <w:rsid w:val="00D804D4"/>
    <w:rsid w:val="00D849D3"/>
    <w:rsid w:val="00D86564"/>
    <w:rsid w:val="00D9173A"/>
    <w:rsid w:val="00D939A2"/>
    <w:rsid w:val="00D93BB8"/>
    <w:rsid w:val="00D942A1"/>
    <w:rsid w:val="00D95A58"/>
    <w:rsid w:val="00D95F2A"/>
    <w:rsid w:val="00D96AA2"/>
    <w:rsid w:val="00DA2CC9"/>
    <w:rsid w:val="00DA4CC9"/>
    <w:rsid w:val="00DA68C1"/>
    <w:rsid w:val="00DA70E3"/>
    <w:rsid w:val="00DA7861"/>
    <w:rsid w:val="00DA7AEE"/>
    <w:rsid w:val="00DB0322"/>
    <w:rsid w:val="00DB0580"/>
    <w:rsid w:val="00DB2D62"/>
    <w:rsid w:val="00DB3E30"/>
    <w:rsid w:val="00DB5891"/>
    <w:rsid w:val="00DB62D2"/>
    <w:rsid w:val="00DB7A27"/>
    <w:rsid w:val="00DC46A3"/>
    <w:rsid w:val="00DC4C25"/>
    <w:rsid w:val="00DC74A8"/>
    <w:rsid w:val="00DD4A18"/>
    <w:rsid w:val="00DD6552"/>
    <w:rsid w:val="00DD67C7"/>
    <w:rsid w:val="00DD7DDA"/>
    <w:rsid w:val="00DE0BC0"/>
    <w:rsid w:val="00DE0D23"/>
    <w:rsid w:val="00DF1752"/>
    <w:rsid w:val="00DF42EA"/>
    <w:rsid w:val="00DF4AEA"/>
    <w:rsid w:val="00DF5D7D"/>
    <w:rsid w:val="00DF6F2F"/>
    <w:rsid w:val="00E023C8"/>
    <w:rsid w:val="00E0253D"/>
    <w:rsid w:val="00E05D8E"/>
    <w:rsid w:val="00E0610F"/>
    <w:rsid w:val="00E06761"/>
    <w:rsid w:val="00E10156"/>
    <w:rsid w:val="00E13306"/>
    <w:rsid w:val="00E137CF"/>
    <w:rsid w:val="00E13B9F"/>
    <w:rsid w:val="00E1496C"/>
    <w:rsid w:val="00E2214C"/>
    <w:rsid w:val="00E23C59"/>
    <w:rsid w:val="00E23DCE"/>
    <w:rsid w:val="00E259B8"/>
    <w:rsid w:val="00E25B92"/>
    <w:rsid w:val="00E278C4"/>
    <w:rsid w:val="00E27D31"/>
    <w:rsid w:val="00E3158E"/>
    <w:rsid w:val="00E34F40"/>
    <w:rsid w:val="00E35290"/>
    <w:rsid w:val="00E36015"/>
    <w:rsid w:val="00E36DFA"/>
    <w:rsid w:val="00E419A1"/>
    <w:rsid w:val="00E41ED7"/>
    <w:rsid w:val="00E42DB5"/>
    <w:rsid w:val="00E50AB4"/>
    <w:rsid w:val="00E51C30"/>
    <w:rsid w:val="00E51C95"/>
    <w:rsid w:val="00E54555"/>
    <w:rsid w:val="00E5500D"/>
    <w:rsid w:val="00E56A54"/>
    <w:rsid w:val="00E57976"/>
    <w:rsid w:val="00E609F3"/>
    <w:rsid w:val="00E62084"/>
    <w:rsid w:val="00E639B1"/>
    <w:rsid w:val="00E66551"/>
    <w:rsid w:val="00E66AB6"/>
    <w:rsid w:val="00E717D4"/>
    <w:rsid w:val="00E71814"/>
    <w:rsid w:val="00E71DA0"/>
    <w:rsid w:val="00E72A81"/>
    <w:rsid w:val="00E74207"/>
    <w:rsid w:val="00E743CD"/>
    <w:rsid w:val="00E768D1"/>
    <w:rsid w:val="00E778E9"/>
    <w:rsid w:val="00E77906"/>
    <w:rsid w:val="00E80729"/>
    <w:rsid w:val="00E82E25"/>
    <w:rsid w:val="00E85278"/>
    <w:rsid w:val="00E86459"/>
    <w:rsid w:val="00E873A5"/>
    <w:rsid w:val="00E901A8"/>
    <w:rsid w:val="00E92686"/>
    <w:rsid w:val="00E92FAD"/>
    <w:rsid w:val="00E93D36"/>
    <w:rsid w:val="00E94D41"/>
    <w:rsid w:val="00E9512F"/>
    <w:rsid w:val="00E97986"/>
    <w:rsid w:val="00E97E7E"/>
    <w:rsid w:val="00EA2BC1"/>
    <w:rsid w:val="00EA518C"/>
    <w:rsid w:val="00EA60BC"/>
    <w:rsid w:val="00EA6A32"/>
    <w:rsid w:val="00EA795A"/>
    <w:rsid w:val="00EB0A9E"/>
    <w:rsid w:val="00EB0D1B"/>
    <w:rsid w:val="00EB74F1"/>
    <w:rsid w:val="00EC0B58"/>
    <w:rsid w:val="00EC199A"/>
    <w:rsid w:val="00EC44BD"/>
    <w:rsid w:val="00EC5D1A"/>
    <w:rsid w:val="00ED52B7"/>
    <w:rsid w:val="00ED6EB1"/>
    <w:rsid w:val="00EE0660"/>
    <w:rsid w:val="00EE1C7E"/>
    <w:rsid w:val="00EE2530"/>
    <w:rsid w:val="00EE3990"/>
    <w:rsid w:val="00EE3E28"/>
    <w:rsid w:val="00EE48C6"/>
    <w:rsid w:val="00EE6579"/>
    <w:rsid w:val="00EE782D"/>
    <w:rsid w:val="00EF028E"/>
    <w:rsid w:val="00EF3BA5"/>
    <w:rsid w:val="00EF4737"/>
    <w:rsid w:val="00EF5594"/>
    <w:rsid w:val="00EF56F9"/>
    <w:rsid w:val="00F024AA"/>
    <w:rsid w:val="00F02F1B"/>
    <w:rsid w:val="00F04AA5"/>
    <w:rsid w:val="00F05094"/>
    <w:rsid w:val="00F05D88"/>
    <w:rsid w:val="00F101D8"/>
    <w:rsid w:val="00F10653"/>
    <w:rsid w:val="00F168F7"/>
    <w:rsid w:val="00F21F61"/>
    <w:rsid w:val="00F2291F"/>
    <w:rsid w:val="00F22A90"/>
    <w:rsid w:val="00F22DE2"/>
    <w:rsid w:val="00F2308C"/>
    <w:rsid w:val="00F239FE"/>
    <w:rsid w:val="00F26571"/>
    <w:rsid w:val="00F27788"/>
    <w:rsid w:val="00F278C2"/>
    <w:rsid w:val="00F352FE"/>
    <w:rsid w:val="00F362B1"/>
    <w:rsid w:val="00F4650F"/>
    <w:rsid w:val="00F46A82"/>
    <w:rsid w:val="00F47AF7"/>
    <w:rsid w:val="00F51895"/>
    <w:rsid w:val="00F53546"/>
    <w:rsid w:val="00F5372A"/>
    <w:rsid w:val="00F554AA"/>
    <w:rsid w:val="00F56B62"/>
    <w:rsid w:val="00F6392B"/>
    <w:rsid w:val="00F63E06"/>
    <w:rsid w:val="00F64CC1"/>
    <w:rsid w:val="00F670B6"/>
    <w:rsid w:val="00F713C3"/>
    <w:rsid w:val="00F719E7"/>
    <w:rsid w:val="00F7333E"/>
    <w:rsid w:val="00F74B6B"/>
    <w:rsid w:val="00F74EB5"/>
    <w:rsid w:val="00F75CE3"/>
    <w:rsid w:val="00F76056"/>
    <w:rsid w:val="00F80ECB"/>
    <w:rsid w:val="00F832D0"/>
    <w:rsid w:val="00F9108C"/>
    <w:rsid w:val="00F91653"/>
    <w:rsid w:val="00F92D50"/>
    <w:rsid w:val="00F96B92"/>
    <w:rsid w:val="00F96C93"/>
    <w:rsid w:val="00FA247E"/>
    <w:rsid w:val="00FA25F5"/>
    <w:rsid w:val="00FA65DC"/>
    <w:rsid w:val="00FA69B2"/>
    <w:rsid w:val="00FB03BB"/>
    <w:rsid w:val="00FB04F3"/>
    <w:rsid w:val="00FB0C57"/>
    <w:rsid w:val="00FB327B"/>
    <w:rsid w:val="00FB7CB2"/>
    <w:rsid w:val="00FC0376"/>
    <w:rsid w:val="00FC10C3"/>
    <w:rsid w:val="00FC1543"/>
    <w:rsid w:val="00FC3E67"/>
    <w:rsid w:val="00FC7F2E"/>
    <w:rsid w:val="00FD1D8B"/>
    <w:rsid w:val="00FD2995"/>
    <w:rsid w:val="00FD2FEC"/>
    <w:rsid w:val="00FE0634"/>
    <w:rsid w:val="00FE1506"/>
    <w:rsid w:val="00FE2948"/>
    <w:rsid w:val="00FE3314"/>
    <w:rsid w:val="00FE7EF6"/>
    <w:rsid w:val="00FF0C02"/>
    <w:rsid w:val="00FF0F31"/>
    <w:rsid w:val="00FF1FD9"/>
    <w:rsid w:val="00FF2D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E9B"/>
    <w:pPr>
      <w:spacing w:before="120" w:after="120" w:line="360" w:lineRule="auto"/>
      <w:jc w:val="both"/>
    </w:pPr>
    <w:rPr>
      <w:rFonts w:ascii="Times New Roman" w:hAnsi="Times New Roman"/>
      <w:sz w:val="24"/>
      <w:szCs w:val="22"/>
      <w:lang w:eastAsia="en-US"/>
    </w:rPr>
  </w:style>
  <w:style w:type="paragraph" w:styleId="1">
    <w:name w:val="heading 1"/>
    <w:basedOn w:val="a"/>
    <w:next w:val="a"/>
    <w:link w:val="10"/>
    <w:uiPriority w:val="9"/>
    <w:qFormat/>
    <w:rsid w:val="008654BE"/>
    <w:pPr>
      <w:keepNext/>
      <w:keepLines/>
      <w:pageBreakBefore/>
      <w:spacing w:before="240"/>
      <w:jc w:val="center"/>
      <w:outlineLvl w:val="0"/>
    </w:pPr>
    <w:rPr>
      <w:rFonts w:eastAsia="Times New Roman"/>
      <w:b/>
      <w:sz w:val="28"/>
      <w:szCs w:val="32"/>
    </w:rPr>
  </w:style>
  <w:style w:type="paragraph" w:styleId="2">
    <w:name w:val="heading 2"/>
    <w:basedOn w:val="a"/>
    <w:next w:val="a"/>
    <w:link w:val="20"/>
    <w:uiPriority w:val="9"/>
    <w:unhideWhenUsed/>
    <w:qFormat/>
    <w:rsid w:val="00173C4C"/>
    <w:pPr>
      <w:keepNext/>
      <w:keepLines/>
      <w:spacing w:before="40"/>
      <w:outlineLvl w:val="1"/>
    </w:pPr>
    <w:rPr>
      <w:rFonts w:eastAsia="Times New Roman"/>
      <w:b/>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E3E79"/>
    <w:rPr>
      <w:rFonts w:ascii="Times New Roman" w:eastAsia="Times New Roman" w:hAnsi="Times New Roman"/>
      <w:b/>
      <w:sz w:val="28"/>
      <w:szCs w:val="32"/>
      <w:lang w:eastAsia="en-US"/>
    </w:rPr>
  </w:style>
  <w:style w:type="character" w:customStyle="1" w:styleId="20">
    <w:name w:val="Заголовок 2 Знак"/>
    <w:link w:val="2"/>
    <w:uiPriority w:val="9"/>
    <w:rsid w:val="00173C4C"/>
    <w:rPr>
      <w:rFonts w:ascii="Times New Roman" w:eastAsia="Times New Roman" w:hAnsi="Times New Roman" w:cs="Times New Roman"/>
      <w:b/>
      <w:sz w:val="24"/>
      <w:szCs w:val="26"/>
      <w:u w:val="single"/>
    </w:rPr>
  </w:style>
  <w:style w:type="paragraph" w:styleId="a3">
    <w:name w:val="Normal (Web)"/>
    <w:basedOn w:val="a"/>
    <w:uiPriority w:val="99"/>
    <w:unhideWhenUsed/>
    <w:qFormat/>
    <w:rsid w:val="00B11FF3"/>
    <w:pPr>
      <w:spacing w:beforeAutospacing="1" w:afterAutospacing="1" w:line="288" w:lineRule="auto"/>
      <w:jc w:val="left"/>
    </w:pPr>
    <w:rPr>
      <w:rFonts w:eastAsia="Times New Roman"/>
      <w:szCs w:val="24"/>
      <w:lang w:eastAsia="ru-RU"/>
    </w:rPr>
  </w:style>
  <w:style w:type="character" w:styleId="a4">
    <w:name w:val="Emphasis"/>
    <w:uiPriority w:val="20"/>
    <w:qFormat/>
    <w:rsid w:val="00B11FF3"/>
    <w:rPr>
      <w:i/>
      <w:iCs/>
    </w:rPr>
  </w:style>
  <w:style w:type="paragraph" w:styleId="a5">
    <w:name w:val="List Paragraph"/>
    <w:basedOn w:val="a"/>
    <w:link w:val="a6"/>
    <w:uiPriority w:val="34"/>
    <w:qFormat/>
    <w:rsid w:val="00AE2EE4"/>
    <w:pPr>
      <w:ind w:left="720"/>
      <w:contextualSpacing/>
    </w:pPr>
  </w:style>
  <w:style w:type="paragraph" w:styleId="a7">
    <w:name w:val="header"/>
    <w:basedOn w:val="a"/>
    <w:link w:val="a8"/>
    <w:uiPriority w:val="99"/>
    <w:unhideWhenUsed/>
    <w:rsid w:val="00383556"/>
    <w:pPr>
      <w:tabs>
        <w:tab w:val="center" w:pos="4677"/>
        <w:tab w:val="right" w:pos="9355"/>
      </w:tabs>
      <w:spacing w:line="240" w:lineRule="auto"/>
    </w:pPr>
  </w:style>
  <w:style w:type="character" w:customStyle="1" w:styleId="a8">
    <w:name w:val="Верхний колонтитул Знак"/>
    <w:link w:val="a7"/>
    <w:uiPriority w:val="99"/>
    <w:rsid w:val="00383556"/>
    <w:rPr>
      <w:rFonts w:ascii="Times New Roman" w:hAnsi="Times New Roman"/>
      <w:sz w:val="24"/>
    </w:rPr>
  </w:style>
  <w:style w:type="paragraph" w:styleId="a9">
    <w:name w:val="footer"/>
    <w:basedOn w:val="a"/>
    <w:link w:val="aa"/>
    <w:uiPriority w:val="99"/>
    <w:unhideWhenUsed/>
    <w:rsid w:val="00383556"/>
    <w:pPr>
      <w:tabs>
        <w:tab w:val="center" w:pos="4677"/>
        <w:tab w:val="right" w:pos="9355"/>
      </w:tabs>
      <w:spacing w:line="240" w:lineRule="auto"/>
    </w:pPr>
  </w:style>
  <w:style w:type="character" w:customStyle="1" w:styleId="aa">
    <w:name w:val="Нижний колонтитул Знак"/>
    <w:link w:val="a9"/>
    <w:uiPriority w:val="99"/>
    <w:rsid w:val="00383556"/>
    <w:rPr>
      <w:rFonts w:ascii="Times New Roman" w:hAnsi="Times New Roman"/>
      <w:sz w:val="24"/>
    </w:rPr>
  </w:style>
  <w:style w:type="character" w:styleId="ab">
    <w:name w:val="Strong"/>
    <w:uiPriority w:val="22"/>
    <w:qFormat/>
    <w:rsid w:val="00C512DE"/>
    <w:rPr>
      <w:b/>
      <w:bCs/>
    </w:rPr>
  </w:style>
  <w:style w:type="table" w:customStyle="1" w:styleId="-131">
    <w:name w:val="Список-таблица 1 светлая — акцент 31"/>
    <w:basedOn w:val="a1"/>
    <w:uiPriority w:val="46"/>
    <w:rsid w:val="00562AB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ableParagraph">
    <w:name w:val="Table Paragraph"/>
    <w:basedOn w:val="a"/>
    <w:rsid w:val="008F3621"/>
    <w:pPr>
      <w:widowControl w:val="0"/>
      <w:spacing w:before="0" w:after="0" w:line="240" w:lineRule="auto"/>
      <w:ind w:left="103"/>
      <w:jc w:val="left"/>
    </w:pPr>
    <w:rPr>
      <w:rFonts w:ascii="Calibri" w:eastAsia="Times New Roman" w:hAnsi="Calibri" w:cs="Calibri"/>
      <w:sz w:val="22"/>
      <w:lang w:val="en-US"/>
    </w:rPr>
  </w:style>
  <w:style w:type="character" w:customStyle="1" w:styleId="pop-slug-vol">
    <w:name w:val="pop-slug-vol"/>
    <w:uiPriority w:val="99"/>
    <w:qFormat/>
    <w:rsid w:val="008F3621"/>
    <w:rPr>
      <w:rFonts w:cs="Times New Roman"/>
    </w:rPr>
  </w:style>
  <w:style w:type="paragraph" w:customStyle="1" w:styleId="ac">
    <w:name w:val="Содержимое врезки"/>
    <w:basedOn w:val="a"/>
    <w:uiPriority w:val="99"/>
    <w:qFormat/>
    <w:rsid w:val="008F3621"/>
    <w:pPr>
      <w:spacing w:before="0" w:after="0"/>
      <w:jc w:val="left"/>
    </w:pPr>
  </w:style>
  <w:style w:type="table" w:styleId="ad">
    <w:name w:val="Table Grid"/>
    <w:basedOn w:val="a1"/>
    <w:uiPriority w:val="39"/>
    <w:rsid w:val="008F3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Текст примечания Знак"/>
    <w:uiPriority w:val="99"/>
    <w:semiHidden/>
    <w:qFormat/>
    <w:rsid w:val="008F3621"/>
    <w:rPr>
      <w:rFonts w:ascii="Times New Roman" w:hAnsi="Times New Roman"/>
      <w:sz w:val="20"/>
      <w:szCs w:val="20"/>
    </w:rPr>
  </w:style>
  <w:style w:type="paragraph" w:styleId="af">
    <w:name w:val="No Spacing"/>
    <w:uiPriority w:val="1"/>
    <w:qFormat/>
    <w:rsid w:val="008F3621"/>
    <w:pPr>
      <w:jc w:val="both"/>
    </w:pPr>
    <w:rPr>
      <w:rFonts w:ascii="Times New Roman" w:hAnsi="Times New Roman"/>
      <w:sz w:val="24"/>
      <w:szCs w:val="22"/>
      <w:lang w:eastAsia="en-US"/>
    </w:rPr>
  </w:style>
  <w:style w:type="paragraph" w:styleId="af0">
    <w:name w:val="TOC Heading"/>
    <w:basedOn w:val="1"/>
    <w:next w:val="a"/>
    <w:uiPriority w:val="39"/>
    <w:unhideWhenUsed/>
    <w:qFormat/>
    <w:rsid w:val="008F3621"/>
    <w:pPr>
      <w:pageBreakBefore w:val="0"/>
      <w:spacing w:after="0" w:line="259" w:lineRule="auto"/>
      <w:jc w:val="left"/>
      <w:outlineLvl w:val="9"/>
    </w:pPr>
    <w:rPr>
      <w:rFonts w:ascii="Calibri Light" w:hAnsi="Calibri Light"/>
      <w:b w:val="0"/>
      <w:color w:val="2F5496"/>
      <w:sz w:val="32"/>
      <w:lang w:eastAsia="ru-RU"/>
    </w:rPr>
  </w:style>
  <w:style w:type="paragraph" w:styleId="11">
    <w:name w:val="toc 1"/>
    <w:basedOn w:val="a"/>
    <w:next w:val="a"/>
    <w:autoRedefine/>
    <w:uiPriority w:val="39"/>
    <w:unhideWhenUsed/>
    <w:rsid w:val="008654BE"/>
    <w:pPr>
      <w:tabs>
        <w:tab w:val="right" w:leader="dot" w:pos="9345"/>
      </w:tabs>
      <w:spacing w:after="100"/>
      <w:jc w:val="left"/>
    </w:pPr>
    <w:rPr>
      <w:bCs/>
      <w:noProof/>
    </w:rPr>
  </w:style>
  <w:style w:type="paragraph" w:styleId="21">
    <w:name w:val="toc 2"/>
    <w:basedOn w:val="a"/>
    <w:next w:val="a"/>
    <w:autoRedefine/>
    <w:uiPriority w:val="39"/>
    <w:unhideWhenUsed/>
    <w:rsid w:val="008654BE"/>
    <w:pPr>
      <w:tabs>
        <w:tab w:val="right" w:leader="dot" w:pos="9345"/>
      </w:tabs>
      <w:spacing w:before="0" w:after="0"/>
      <w:ind w:left="240"/>
      <w:jc w:val="left"/>
    </w:pPr>
    <w:rPr>
      <w:noProof/>
    </w:rPr>
  </w:style>
  <w:style w:type="character" w:styleId="af1">
    <w:name w:val="Hyperlink"/>
    <w:uiPriority w:val="99"/>
    <w:unhideWhenUsed/>
    <w:rsid w:val="008F3621"/>
    <w:rPr>
      <w:color w:val="0563C1"/>
      <w:u w:val="single"/>
    </w:rPr>
  </w:style>
  <w:style w:type="character" w:customStyle="1" w:styleId="a6">
    <w:name w:val="Абзац списка Знак"/>
    <w:link w:val="a5"/>
    <w:uiPriority w:val="34"/>
    <w:rsid w:val="00844D70"/>
    <w:rPr>
      <w:rFonts w:ascii="Times New Roman" w:hAnsi="Times New Roman"/>
      <w:sz w:val="24"/>
    </w:rPr>
  </w:style>
  <w:style w:type="character" w:styleId="af2">
    <w:name w:val="annotation reference"/>
    <w:uiPriority w:val="99"/>
    <w:semiHidden/>
    <w:unhideWhenUsed/>
    <w:rsid w:val="003C363B"/>
    <w:rPr>
      <w:sz w:val="16"/>
      <w:szCs w:val="16"/>
    </w:rPr>
  </w:style>
  <w:style w:type="paragraph" w:styleId="af3">
    <w:name w:val="annotation text"/>
    <w:basedOn w:val="a"/>
    <w:link w:val="12"/>
    <w:uiPriority w:val="99"/>
    <w:unhideWhenUsed/>
    <w:rsid w:val="003C363B"/>
    <w:pPr>
      <w:spacing w:line="240" w:lineRule="auto"/>
    </w:pPr>
    <w:rPr>
      <w:sz w:val="20"/>
      <w:szCs w:val="20"/>
    </w:rPr>
  </w:style>
  <w:style w:type="character" w:customStyle="1" w:styleId="12">
    <w:name w:val="Текст примечания Знак1"/>
    <w:link w:val="af3"/>
    <w:uiPriority w:val="99"/>
    <w:rsid w:val="003C363B"/>
    <w:rPr>
      <w:rFonts w:ascii="Times New Roman" w:hAnsi="Times New Roman"/>
      <w:sz w:val="20"/>
      <w:szCs w:val="20"/>
    </w:rPr>
  </w:style>
  <w:style w:type="paragraph" w:styleId="af4">
    <w:name w:val="Balloon Text"/>
    <w:basedOn w:val="a"/>
    <w:link w:val="af5"/>
    <w:uiPriority w:val="99"/>
    <w:semiHidden/>
    <w:unhideWhenUsed/>
    <w:rsid w:val="003C363B"/>
    <w:pPr>
      <w:spacing w:before="0" w:after="0" w:line="240" w:lineRule="auto"/>
    </w:pPr>
    <w:rPr>
      <w:rFonts w:ascii="Segoe UI" w:hAnsi="Segoe UI" w:cs="Segoe UI"/>
      <w:sz w:val="18"/>
      <w:szCs w:val="18"/>
    </w:rPr>
  </w:style>
  <w:style w:type="character" w:customStyle="1" w:styleId="af5">
    <w:name w:val="Текст выноски Знак"/>
    <w:link w:val="af4"/>
    <w:uiPriority w:val="99"/>
    <w:semiHidden/>
    <w:rsid w:val="003C363B"/>
    <w:rPr>
      <w:rFonts w:ascii="Segoe UI" w:hAnsi="Segoe UI" w:cs="Segoe UI"/>
      <w:sz w:val="18"/>
      <w:szCs w:val="18"/>
    </w:rPr>
  </w:style>
  <w:style w:type="paragraph" w:customStyle="1" w:styleId="13">
    <w:name w:val="Оглавление 1 Знак"/>
    <w:basedOn w:val="a"/>
    <w:qFormat/>
    <w:rsid w:val="00130BC5"/>
    <w:pPr>
      <w:widowControl w:val="0"/>
      <w:spacing w:before="0" w:after="0"/>
      <w:ind w:left="709" w:hanging="283"/>
    </w:pPr>
    <w:rPr>
      <w:rFonts w:eastAsia="Times New Roman"/>
      <w:szCs w:val="24"/>
      <w:lang w:eastAsia="ru-RU"/>
    </w:rPr>
  </w:style>
  <w:style w:type="paragraph" w:styleId="af6">
    <w:name w:val="Body Text"/>
    <w:basedOn w:val="a"/>
    <w:link w:val="af7"/>
    <w:rsid w:val="00DD67C7"/>
    <w:pPr>
      <w:spacing w:before="0" w:line="240" w:lineRule="auto"/>
      <w:ind w:firstLine="567"/>
    </w:pPr>
    <w:rPr>
      <w:rFonts w:eastAsia="Times New Roman"/>
      <w:szCs w:val="24"/>
    </w:rPr>
  </w:style>
  <w:style w:type="character" w:customStyle="1" w:styleId="af7">
    <w:name w:val="Основной текст Знак"/>
    <w:link w:val="af6"/>
    <w:rsid w:val="00DD67C7"/>
    <w:rPr>
      <w:rFonts w:ascii="Times New Roman" w:eastAsia="Times New Roman" w:hAnsi="Times New Roman" w:cs="Times New Roman"/>
      <w:sz w:val="24"/>
      <w:szCs w:val="24"/>
    </w:rPr>
  </w:style>
  <w:style w:type="paragraph" w:customStyle="1" w:styleId="3">
    <w:name w:val="Абзац списка3"/>
    <w:basedOn w:val="a"/>
    <w:rsid w:val="008654BE"/>
    <w:pPr>
      <w:spacing w:before="0" w:after="0" w:line="240" w:lineRule="auto"/>
      <w:ind w:left="720" w:firstLine="567"/>
    </w:pPr>
    <w:rPr>
      <w:szCs w:val="24"/>
      <w:lang w:eastAsia="ru-RU"/>
    </w:rPr>
  </w:style>
  <w:style w:type="table" w:customStyle="1" w:styleId="-132">
    <w:name w:val="Список-таблица 1 светлая — акцент 32"/>
    <w:basedOn w:val="a1"/>
    <w:uiPriority w:val="46"/>
    <w:rsid w:val="006A749A"/>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f8">
    <w:name w:val="annotation subject"/>
    <w:basedOn w:val="af3"/>
    <w:next w:val="af3"/>
    <w:link w:val="af9"/>
    <w:uiPriority w:val="99"/>
    <w:semiHidden/>
    <w:unhideWhenUsed/>
    <w:rsid w:val="003C65DB"/>
    <w:rPr>
      <w:b/>
      <w:bCs/>
    </w:rPr>
  </w:style>
  <w:style w:type="character" w:customStyle="1" w:styleId="af9">
    <w:name w:val="Тема примечания Знак"/>
    <w:link w:val="af8"/>
    <w:uiPriority w:val="99"/>
    <w:semiHidden/>
    <w:rsid w:val="003C65DB"/>
    <w:rPr>
      <w:rFonts w:ascii="Times New Roman" w:hAnsi="Times New Roman"/>
      <w:b/>
      <w:bCs/>
      <w:sz w:val="20"/>
      <w:szCs w:val="20"/>
    </w:rPr>
  </w:style>
  <w:style w:type="character" w:customStyle="1" w:styleId="hl">
    <w:name w:val="hl"/>
    <w:basedOn w:val="a0"/>
    <w:rsid w:val="003C65DB"/>
  </w:style>
  <w:style w:type="paragraph" w:styleId="afa">
    <w:name w:val="Title"/>
    <w:aliases w:val="Заголовок мой"/>
    <w:basedOn w:val="a"/>
    <w:next w:val="a"/>
    <w:link w:val="afb"/>
    <w:qFormat/>
    <w:rsid w:val="00036C84"/>
    <w:pPr>
      <w:spacing w:before="0" w:after="0"/>
      <w:contextualSpacing/>
      <w:jc w:val="center"/>
    </w:pPr>
    <w:rPr>
      <w:rFonts w:eastAsia="Times New Roman"/>
      <w:spacing w:val="-10"/>
      <w:kern w:val="28"/>
      <w:sz w:val="28"/>
      <w:szCs w:val="56"/>
      <w:u w:val="single"/>
    </w:rPr>
  </w:style>
  <w:style w:type="character" w:customStyle="1" w:styleId="afb">
    <w:name w:val="Название Знак"/>
    <w:aliases w:val="Заголовок мой Знак"/>
    <w:link w:val="afa"/>
    <w:rsid w:val="00036C84"/>
    <w:rPr>
      <w:rFonts w:ascii="Times New Roman" w:eastAsia="Times New Roman" w:hAnsi="Times New Roman" w:cs="Times New Roman"/>
      <w:spacing w:val="-10"/>
      <w:kern w:val="28"/>
      <w:sz w:val="28"/>
      <w:szCs w:val="56"/>
      <w:u w:val="single"/>
    </w:rPr>
  </w:style>
  <w:style w:type="table" w:customStyle="1" w:styleId="14">
    <w:name w:val="Сетка таблицы1"/>
    <w:basedOn w:val="a1"/>
    <w:next w:val="ad"/>
    <w:uiPriority w:val="59"/>
    <w:rsid w:val="00C0307D"/>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A0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A045D5"/>
    <w:rPr>
      <w:rFonts w:ascii="Courier New" w:eastAsia="Times New Roman" w:hAnsi="Courier New" w:cs="Courier New"/>
      <w:sz w:val="20"/>
      <w:szCs w:val="20"/>
      <w:lang w:eastAsia="ru-RU"/>
    </w:rPr>
  </w:style>
  <w:style w:type="character" w:customStyle="1" w:styleId="mixed-citation">
    <w:name w:val="mixed-citation"/>
    <w:basedOn w:val="a0"/>
    <w:rsid w:val="00A045D5"/>
  </w:style>
  <w:style w:type="character" w:customStyle="1" w:styleId="ref-title">
    <w:name w:val="ref-title"/>
    <w:basedOn w:val="a0"/>
    <w:rsid w:val="00A045D5"/>
  </w:style>
  <w:style w:type="character" w:customStyle="1" w:styleId="ref-journal">
    <w:name w:val="ref-journal"/>
    <w:basedOn w:val="a0"/>
    <w:rsid w:val="00A045D5"/>
  </w:style>
  <w:style w:type="character" w:customStyle="1" w:styleId="ref-vol">
    <w:name w:val="ref-vol"/>
    <w:basedOn w:val="a0"/>
    <w:rsid w:val="00A045D5"/>
  </w:style>
  <w:style w:type="character" w:customStyle="1" w:styleId="ref-iss">
    <w:name w:val="ref-iss"/>
    <w:basedOn w:val="a0"/>
    <w:rsid w:val="00A045D5"/>
  </w:style>
  <w:style w:type="character" w:customStyle="1" w:styleId="nowrap">
    <w:name w:val="nowrap"/>
    <w:basedOn w:val="a0"/>
    <w:rsid w:val="00A045D5"/>
  </w:style>
  <w:style w:type="character" w:styleId="afc">
    <w:name w:val="Placeholder Text"/>
    <w:uiPriority w:val="99"/>
    <w:semiHidden/>
    <w:rsid w:val="00804C38"/>
    <w:rPr>
      <w:color w:val="808080"/>
    </w:rPr>
  </w:style>
  <w:style w:type="paragraph" w:customStyle="1" w:styleId="afd">
    <w:name w:val="Памятки"/>
    <w:basedOn w:val="a"/>
    <w:link w:val="afe"/>
    <w:uiPriority w:val="99"/>
    <w:rsid w:val="000B4176"/>
    <w:pPr>
      <w:spacing w:before="0" w:after="0"/>
      <w:ind w:firstLine="709"/>
    </w:pPr>
    <w:rPr>
      <w:rFonts w:eastAsia="Times New Roman"/>
      <w:i/>
      <w:color w:val="FF0000"/>
      <w:sz w:val="18"/>
      <w:szCs w:val="24"/>
    </w:rPr>
  </w:style>
  <w:style w:type="character" w:customStyle="1" w:styleId="afe">
    <w:name w:val="Памятки Знак"/>
    <w:link w:val="afd"/>
    <w:uiPriority w:val="99"/>
    <w:locked/>
    <w:rsid w:val="000B4176"/>
    <w:rPr>
      <w:rFonts w:ascii="Times New Roman" w:eastAsia="Times New Roman" w:hAnsi="Times New Roman" w:cs="Times New Roman"/>
      <w:i/>
      <w:color w:val="FF0000"/>
      <w:sz w:val="18"/>
      <w:szCs w:val="24"/>
    </w:rPr>
  </w:style>
  <w:style w:type="paragraph" w:customStyle="1" w:styleId="Default">
    <w:name w:val="Default"/>
    <w:rsid w:val="00E92FAD"/>
    <w:pPr>
      <w:autoSpaceDE w:val="0"/>
      <w:autoSpaceDN w:val="0"/>
      <w:adjustRightInd w:val="0"/>
    </w:pPr>
    <w:rPr>
      <w:rFonts w:ascii="Times New Roman" w:hAnsi="Times New Roman"/>
      <w:color w:val="000000"/>
      <w:sz w:val="24"/>
      <w:szCs w:val="24"/>
      <w:lang w:eastAsia="en-US"/>
    </w:rPr>
  </w:style>
  <w:style w:type="character" w:customStyle="1" w:styleId="aff">
    <w:name w:val="Обычный (веб) Знак"/>
    <w:rsid w:val="00305AC6"/>
    <w:rPr>
      <w:rFonts w:ascii="Times New Roman" w:eastAsia="Times New Roman" w:hAnsi="Times New Roman"/>
      <w:sz w:val="24"/>
      <w:szCs w:val="24"/>
    </w:rPr>
  </w:style>
  <w:style w:type="paragraph" w:styleId="aff0">
    <w:name w:val="Revision"/>
    <w:hidden/>
    <w:uiPriority w:val="99"/>
    <w:semiHidden/>
    <w:rsid w:val="00305AC6"/>
    <w:rPr>
      <w:rFonts w:ascii="Times New Roman" w:hAnsi="Times New Roman"/>
      <w:sz w:val="24"/>
      <w:szCs w:val="22"/>
      <w:lang w:eastAsia="en-US"/>
    </w:rPr>
  </w:style>
  <w:style w:type="paragraph" w:customStyle="1" w:styleId="aff1">
    <w:basedOn w:val="a"/>
    <w:next w:val="a3"/>
    <w:uiPriority w:val="99"/>
    <w:unhideWhenUsed/>
    <w:qFormat/>
    <w:rsid w:val="008654BE"/>
    <w:pPr>
      <w:spacing w:beforeAutospacing="1" w:afterAutospacing="1" w:line="288" w:lineRule="auto"/>
      <w:jc w:val="left"/>
    </w:pPr>
    <w:rPr>
      <w:rFonts w:eastAsia="Times New Roman"/>
      <w:szCs w:val="24"/>
      <w:lang w:eastAsia="ru-RU"/>
    </w:rPr>
  </w:style>
  <w:style w:type="character" w:customStyle="1" w:styleId="15">
    <w:name w:val="Абзац списка Знак1"/>
    <w:basedOn w:val="a0"/>
    <w:uiPriority w:val="34"/>
    <w:rsid w:val="00476626"/>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E9B"/>
    <w:pPr>
      <w:spacing w:before="120" w:after="120" w:line="360" w:lineRule="auto"/>
      <w:jc w:val="both"/>
    </w:pPr>
    <w:rPr>
      <w:rFonts w:ascii="Times New Roman" w:hAnsi="Times New Roman"/>
      <w:sz w:val="24"/>
      <w:szCs w:val="22"/>
      <w:lang w:eastAsia="en-US"/>
    </w:rPr>
  </w:style>
  <w:style w:type="paragraph" w:styleId="1">
    <w:name w:val="heading 1"/>
    <w:basedOn w:val="a"/>
    <w:next w:val="a"/>
    <w:link w:val="10"/>
    <w:uiPriority w:val="9"/>
    <w:qFormat/>
    <w:rsid w:val="008654BE"/>
    <w:pPr>
      <w:keepNext/>
      <w:keepLines/>
      <w:pageBreakBefore/>
      <w:spacing w:before="240"/>
      <w:jc w:val="center"/>
      <w:outlineLvl w:val="0"/>
    </w:pPr>
    <w:rPr>
      <w:rFonts w:eastAsia="Times New Roman"/>
      <w:b/>
      <w:sz w:val="28"/>
      <w:szCs w:val="32"/>
    </w:rPr>
  </w:style>
  <w:style w:type="paragraph" w:styleId="2">
    <w:name w:val="heading 2"/>
    <w:basedOn w:val="a"/>
    <w:next w:val="a"/>
    <w:link w:val="20"/>
    <w:uiPriority w:val="9"/>
    <w:unhideWhenUsed/>
    <w:qFormat/>
    <w:rsid w:val="00173C4C"/>
    <w:pPr>
      <w:keepNext/>
      <w:keepLines/>
      <w:spacing w:before="40"/>
      <w:outlineLvl w:val="1"/>
    </w:pPr>
    <w:rPr>
      <w:rFonts w:eastAsia="Times New Roman"/>
      <w:b/>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E3E79"/>
    <w:rPr>
      <w:rFonts w:ascii="Times New Roman" w:eastAsia="Times New Roman" w:hAnsi="Times New Roman"/>
      <w:b/>
      <w:sz w:val="28"/>
      <w:szCs w:val="32"/>
      <w:lang w:eastAsia="en-US"/>
    </w:rPr>
  </w:style>
  <w:style w:type="character" w:customStyle="1" w:styleId="20">
    <w:name w:val="Заголовок 2 Знак"/>
    <w:link w:val="2"/>
    <w:uiPriority w:val="9"/>
    <w:rsid w:val="00173C4C"/>
    <w:rPr>
      <w:rFonts w:ascii="Times New Roman" w:eastAsia="Times New Roman" w:hAnsi="Times New Roman" w:cs="Times New Roman"/>
      <w:b/>
      <w:sz w:val="24"/>
      <w:szCs w:val="26"/>
      <w:u w:val="single"/>
    </w:rPr>
  </w:style>
  <w:style w:type="paragraph" w:styleId="a3">
    <w:name w:val="Normal (Web)"/>
    <w:basedOn w:val="a"/>
    <w:uiPriority w:val="99"/>
    <w:unhideWhenUsed/>
    <w:qFormat/>
    <w:rsid w:val="00B11FF3"/>
    <w:pPr>
      <w:spacing w:beforeAutospacing="1" w:afterAutospacing="1" w:line="288" w:lineRule="auto"/>
      <w:jc w:val="left"/>
    </w:pPr>
    <w:rPr>
      <w:rFonts w:eastAsia="Times New Roman"/>
      <w:szCs w:val="24"/>
      <w:lang w:eastAsia="ru-RU"/>
    </w:rPr>
  </w:style>
  <w:style w:type="character" w:styleId="a4">
    <w:name w:val="Emphasis"/>
    <w:uiPriority w:val="20"/>
    <w:qFormat/>
    <w:rsid w:val="00B11FF3"/>
    <w:rPr>
      <w:i/>
      <w:iCs/>
    </w:rPr>
  </w:style>
  <w:style w:type="paragraph" w:styleId="a5">
    <w:name w:val="List Paragraph"/>
    <w:basedOn w:val="a"/>
    <w:link w:val="a6"/>
    <w:uiPriority w:val="34"/>
    <w:qFormat/>
    <w:rsid w:val="00AE2EE4"/>
    <w:pPr>
      <w:ind w:left="720"/>
      <w:contextualSpacing/>
    </w:pPr>
  </w:style>
  <w:style w:type="paragraph" w:styleId="a7">
    <w:name w:val="header"/>
    <w:basedOn w:val="a"/>
    <w:link w:val="a8"/>
    <w:uiPriority w:val="99"/>
    <w:unhideWhenUsed/>
    <w:rsid w:val="00383556"/>
    <w:pPr>
      <w:tabs>
        <w:tab w:val="center" w:pos="4677"/>
        <w:tab w:val="right" w:pos="9355"/>
      </w:tabs>
      <w:spacing w:line="240" w:lineRule="auto"/>
    </w:pPr>
  </w:style>
  <w:style w:type="character" w:customStyle="1" w:styleId="a8">
    <w:name w:val="Верхний колонтитул Знак"/>
    <w:link w:val="a7"/>
    <w:uiPriority w:val="99"/>
    <w:rsid w:val="00383556"/>
    <w:rPr>
      <w:rFonts w:ascii="Times New Roman" w:hAnsi="Times New Roman"/>
      <w:sz w:val="24"/>
    </w:rPr>
  </w:style>
  <w:style w:type="paragraph" w:styleId="a9">
    <w:name w:val="footer"/>
    <w:basedOn w:val="a"/>
    <w:link w:val="aa"/>
    <w:uiPriority w:val="99"/>
    <w:unhideWhenUsed/>
    <w:rsid w:val="00383556"/>
    <w:pPr>
      <w:tabs>
        <w:tab w:val="center" w:pos="4677"/>
        <w:tab w:val="right" w:pos="9355"/>
      </w:tabs>
      <w:spacing w:line="240" w:lineRule="auto"/>
    </w:pPr>
  </w:style>
  <w:style w:type="character" w:customStyle="1" w:styleId="aa">
    <w:name w:val="Нижний колонтитул Знак"/>
    <w:link w:val="a9"/>
    <w:uiPriority w:val="99"/>
    <w:rsid w:val="00383556"/>
    <w:rPr>
      <w:rFonts w:ascii="Times New Roman" w:hAnsi="Times New Roman"/>
      <w:sz w:val="24"/>
    </w:rPr>
  </w:style>
  <w:style w:type="character" w:styleId="ab">
    <w:name w:val="Strong"/>
    <w:uiPriority w:val="22"/>
    <w:qFormat/>
    <w:rsid w:val="00C512DE"/>
    <w:rPr>
      <w:b/>
      <w:bCs/>
    </w:rPr>
  </w:style>
  <w:style w:type="table" w:customStyle="1" w:styleId="-131">
    <w:name w:val="Список-таблица 1 светлая — акцент 31"/>
    <w:basedOn w:val="a1"/>
    <w:uiPriority w:val="46"/>
    <w:rsid w:val="00562AB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ableParagraph">
    <w:name w:val="Table Paragraph"/>
    <w:basedOn w:val="a"/>
    <w:rsid w:val="008F3621"/>
    <w:pPr>
      <w:widowControl w:val="0"/>
      <w:spacing w:before="0" w:after="0" w:line="240" w:lineRule="auto"/>
      <w:ind w:left="103"/>
      <w:jc w:val="left"/>
    </w:pPr>
    <w:rPr>
      <w:rFonts w:ascii="Calibri" w:eastAsia="Times New Roman" w:hAnsi="Calibri" w:cs="Calibri"/>
      <w:sz w:val="22"/>
      <w:lang w:val="en-US"/>
    </w:rPr>
  </w:style>
  <w:style w:type="character" w:customStyle="1" w:styleId="pop-slug-vol">
    <w:name w:val="pop-slug-vol"/>
    <w:uiPriority w:val="99"/>
    <w:qFormat/>
    <w:rsid w:val="008F3621"/>
    <w:rPr>
      <w:rFonts w:cs="Times New Roman"/>
    </w:rPr>
  </w:style>
  <w:style w:type="paragraph" w:customStyle="1" w:styleId="ac">
    <w:name w:val="Содержимое врезки"/>
    <w:basedOn w:val="a"/>
    <w:uiPriority w:val="99"/>
    <w:qFormat/>
    <w:rsid w:val="008F3621"/>
    <w:pPr>
      <w:spacing w:before="0" w:after="0"/>
      <w:jc w:val="left"/>
    </w:pPr>
  </w:style>
  <w:style w:type="table" w:styleId="ad">
    <w:name w:val="Table Grid"/>
    <w:basedOn w:val="a1"/>
    <w:uiPriority w:val="39"/>
    <w:rsid w:val="008F3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Текст примечания Знак"/>
    <w:uiPriority w:val="99"/>
    <w:semiHidden/>
    <w:qFormat/>
    <w:rsid w:val="008F3621"/>
    <w:rPr>
      <w:rFonts w:ascii="Times New Roman" w:hAnsi="Times New Roman"/>
      <w:sz w:val="20"/>
      <w:szCs w:val="20"/>
    </w:rPr>
  </w:style>
  <w:style w:type="paragraph" w:styleId="af">
    <w:name w:val="No Spacing"/>
    <w:uiPriority w:val="1"/>
    <w:qFormat/>
    <w:rsid w:val="008F3621"/>
    <w:pPr>
      <w:jc w:val="both"/>
    </w:pPr>
    <w:rPr>
      <w:rFonts w:ascii="Times New Roman" w:hAnsi="Times New Roman"/>
      <w:sz w:val="24"/>
      <w:szCs w:val="22"/>
      <w:lang w:eastAsia="en-US"/>
    </w:rPr>
  </w:style>
  <w:style w:type="paragraph" w:styleId="af0">
    <w:name w:val="TOC Heading"/>
    <w:basedOn w:val="1"/>
    <w:next w:val="a"/>
    <w:uiPriority w:val="39"/>
    <w:unhideWhenUsed/>
    <w:qFormat/>
    <w:rsid w:val="008F3621"/>
    <w:pPr>
      <w:pageBreakBefore w:val="0"/>
      <w:spacing w:after="0" w:line="259" w:lineRule="auto"/>
      <w:jc w:val="left"/>
      <w:outlineLvl w:val="9"/>
    </w:pPr>
    <w:rPr>
      <w:rFonts w:ascii="Calibri Light" w:hAnsi="Calibri Light"/>
      <w:b w:val="0"/>
      <w:color w:val="2F5496"/>
      <w:sz w:val="32"/>
      <w:lang w:eastAsia="ru-RU"/>
    </w:rPr>
  </w:style>
  <w:style w:type="paragraph" w:styleId="11">
    <w:name w:val="toc 1"/>
    <w:basedOn w:val="a"/>
    <w:next w:val="a"/>
    <w:autoRedefine/>
    <w:uiPriority w:val="39"/>
    <w:unhideWhenUsed/>
    <w:rsid w:val="008654BE"/>
    <w:pPr>
      <w:tabs>
        <w:tab w:val="right" w:leader="dot" w:pos="9345"/>
      </w:tabs>
      <w:spacing w:after="100"/>
      <w:jc w:val="left"/>
    </w:pPr>
    <w:rPr>
      <w:bCs/>
      <w:noProof/>
    </w:rPr>
  </w:style>
  <w:style w:type="paragraph" w:styleId="21">
    <w:name w:val="toc 2"/>
    <w:basedOn w:val="a"/>
    <w:next w:val="a"/>
    <w:autoRedefine/>
    <w:uiPriority w:val="39"/>
    <w:unhideWhenUsed/>
    <w:rsid w:val="008654BE"/>
    <w:pPr>
      <w:tabs>
        <w:tab w:val="right" w:leader="dot" w:pos="9345"/>
      </w:tabs>
      <w:spacing w:before="0" w:after="0"/>
      <w:ind w:left="240"/>
      <w:jc w:val="left"/>
    </w:pPr>
    <w:rPr>
      <w:noProof/>
    </w:rPr>
  </w:style>
  <w:style w:type="character" w:styleId="af1">
    <w:name w:val="Hyperlink"/>
    <w:uiPriority w:val="99"/>
    <w:unhideWhenUsed/>
    <w:rsid w:val="008F3621"/>
    <w:rPr>
      <w:color w:val="0563C1"/>
      <w:u w:val="single"/>
    </w:rPr>
  </w:style>
  <w:style w:type="character" w:customStyle="1" w:styleId="a6">
    <w:name w:val="Абзац списка Знак"/>
    <w:link w:val="a5"/>
    <w:uiPriority w:val="34"/>
    <w:rsid w:val="00844D70"/>
    <w:rPr>
      <w:rFonts w:ascii="Times New Roman" w:hAnsi="Times New Roman"/>
      <w:sz w:val="24"/>
    </w:rPr>
  </w:style>
  <w:style w:type="character" w:styleId="af2">
    <w:name w:val="annotation reference"/>
    <w:uiPriority w:val="99"/>
    <w:semiHidden/>
    <w:unhideWhenUsed/>
    <w:rsid w:val="003C363B"/>
    <w:rPr>
      <w:sz w:val="16"/>
      <w:szCs w:val="16"/>
    </w:rPr>
  </w:style>
  <w:style w:type="paragraph" w:styleId="af3">
    <w:name w:val="annotation text"/>
    <w:basedOn w:val="a"/>
    <w:link w:val="12"/>
    <w:uiPriority w:val="99"/>
    <w:unhideWhenUsed/>
    <w:rsid w:val="003C363B"/>
    <w:pPr>
      <w:spacing w:line="240" w:lineRule="auto"/>
    </w:pPr>
    <w:rPr>
      <w:sz w:val="20"/>
      <w:szCs w:val="20"/>
    </w:rPr>
  </w:style>
  <w:style w:type="character" w:customStyle="1" w:styleId="12">
    <w:name w:val="Текст примечания Знак1"/>
    <w:link w:val="af3"/>
    <w:uiPriority w:val="99"/>
    <w:rsid w:val="003C363B"/>
    <w:rPr>
      <w:rFonts w:ascii="Times New Roman" w:hAnsi="Times New Roman"/>
      <w:sz w:val="20"/>
      <w:szCs w:val="20"/>
    </w:rPr>
  </w:style>
  <w:style w:type="paragraph" w:styleId="af4">
    <w:name w:val="Balloon Text"/>
    <w:basedOn w:val="a"/>
    <w:link w:val="af5"/>
    <w:uiPriority w:val="99"/>
    <w:semiHidden/>
    <w:unhideWhenUsed/>
    <w:rsid w:val="003C363B"/>
    <w:pPr>
      <w:spacing w:before="0" w:after="0" w:line="240" w:lineRule="auto"/>
    </w:pPr>
    <w:rPr>
      <w:rFonts w:ascii="Segoe UI" w:hAnsi="Segoe UI" w:cs="Segoe UI"/>
      <w:sz w:val="18"/>
      <w:szCs w:val="18"/>
    </w:rPr>
  </w:style>
  <w:style w:type="character" w:customStyle="1" w:styleId="af5">
    <w:name w:val="Текст выноски Знак"/>
    <w:link w:val="af4"/>
    <w:uiPriority w:val="99"/>
    <w:semiHidden/>
    <w:rsid w:val="003C363B"/>
    <w:rPr>
      <w:rFonts w:ascii="Segoe UI" w:hAnsi="Segoe UI" w:cs="Segoe UI"/>
      <w:sz w:val="18"/>
      <w:szCs w:val="18"/>
    </w:rPr>
  </w:style>
  <w:style w:type="paragraph" w:customStyle="1" w:styleId="13">
    <w:name w:val="Оглавление 1 Знак"/>
    <w:basedOn w:val="a"/>
    <w:qFormat/>
    <w:rsid w:val="00130BC5"/>
    <w:pPr>
      <w:widowControl w:val="0"/>
      <w:spacing w:before="0" w:after="0"/>
      <w:ind w:left="709" w:hanging="283"/>
    </w:pPr>
    <w:rPr>
      <w:rFonts w:eastAsia="Times New Roman"/>
      <w:szCs w:val="24"/>
      <w:lang w:eastAsia="ru-RU"/>
    </w:rPr>
  </w:style>
  <w:style w:type="paragraph" w:styleId="af6">
    <w:name w:val="Body Text"/>
    <w:basedOn w:val="a"/>
    <w:link w:val="af7"/>
    <w:rsid w:val="00DD67C7"/>
    <w:pPr>
      <w:spacing w:before="0" w:line="240" w:lineRule="auto"/>
      <w:ind w:firstLine="567"/>
    </w:pPr>
    <w:rPr>
      <w:rFonts w:eastAsia="Times New Roman"/>
      <w:szCs w:val="24"/>
    </w:rPr>
  </w:style>
  <w:style w:type="character" w:customStyle="1" w:styleId="af7">
    <w:name w:val="Основной текст Знак"/>
    <w:link w:val="af6"/>
    <w:rsid w:val="00DD67C7"/>
    <w:rPr>
      <w:rFonts w:ascii="Times New Roman" w:eastAsia="Times New Roman" w:hAnsi="Times New Roman" w:cs="Times New Roman"/>
      <w:sz w:val="24"/>
      <w:szCs w:val="24"/>
    </w:rPr>
  </w:style>
  <w:style w:type="paragraph" w:customStyle="1" w:styleId="3">
    <w:name w:val="Абзац списка3"/>
    <w:basedOn w:val="a"/>
    <w:rsid w:val="008654BE"/>
    <w:pPr>
      <w:spacing w:before="0" w:after="0" w:line="240" w:lineRule="auto"/>
      <w:ind w:left="720" w:firstLine="567"/>
    </w:pPr>
    <w:rPr>
      <w:szCs w:val="24"/>
      <w:lang w:eastAsia="ru-RU"/>
    </w:rPr>
  </w:style>
  <w:style w:type="table" w:customStyle="1" w:styleId="-132">
    <w:name w:val="Список-таблица 1 светлая — акцент 32"/>
    <w:basedOn w:val="a1"/>
    <w:uiPriority w:val="46"/>
    <w:rsid w:val="006A749A"/>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f8">
    <w:name w:val="annotation subject"/>
    <w:basedOn w:val="af3"/>
    <w:next w:val="af3"/>
    <w:link w:val="af9"/>
    <w:uiPriority w:val="99"/>
    <w:semiHidden/>
    <w:unhideWhenUsed/>
    <w:rsid w:val="003C65DB"/>
    <w:rPr>
      <w:b/>
      <w:bCs/>
    </w:rPr>
  </w:style>
  <w:style w:type="character" w:customStyle="1" w:styleId="af9">
    <w:name w:val="Тема примечания Знак"/>
    <w:link w:val="af8"/>
    <w:uiPriority w:val="99"/>
    <w:semiHidden/>
    <w:rsid w:val="003C65DB"/>
    <w:rPr>
      <w:rFonts w:ascii="Times New Roman" w:hAnsi="Times New Roman"/>
      <w:b/>
      <w:bCs/>
      <w:sz w:val="20"/>
      <w:szCs w:val="20"/>
    </w:rPr>
  </w:style>
  <w:style w:type="character" w:customStyle="1" w:styleId="hl">
    <w:name w:val="hl"/>
    <w:basedOn w:val="a0"/>
    <w:rsid w:val="003C65DB"/>
  </w:style>
  <w:style w:type="paragraph" w:styleId="afa">
    <w:name w:val="Title"/>
    <w:aliases w:val="Заголовок мой"/>
    <w:basedOn w:val="a"/>
    <w:next w:val="a"/>
    <w:link w:val="afb"/>
    <w:qFormat/>
    <w:rsid w:val="00036C84"/>
    <w:pPr>
      <w:spacing w:before="0" w:after="0"/>
      <w:contextualSpacing/>
      <w:jc w:val="center"/>
    </w:pPr>
    <w:rPr>
      <w:rFonts w:eastAsia="Times New Roman"/>
      <w:spacing w:val="-10"/>
      <w:kern w:val="28"/>
      <w:sz w:val="28"/>
      <w:szCs w:val="56"/>
      <w:u w:val="single"/>
    </w:rPr>
  </w:style>
  <w:style w:type="character" w:customStyle="1" w:styleId="afb">
    <w:name w:val="Название Знак"/>
    <w:aliases w:val="Заголовок мой Знак"/>
    <w:link w:val="afa"/>
    <w:rsid w:val="00036C84"/>
    <w:rPr>
      <w:rFonts w:ascii="Times New Roman" w:eastAsia="Times New Roman" w:hAnsi="Times New Roman" w:cs="Times New Roman"/>
      <w:spacing w:val="-10"/>
      <w:kern w:val="28"/>
      <w:sz w:val="28"/>
      <w:szCs w:val="56"/>
      <w:u w:val="single"/>
    </w:rPr>
  </w:style>
  <w:style w:type="table" w:customStyle="1" w:styleId="14">
    <w:name w:val="Сетка таблицы1"/>
    <w:basedOn w:val="a1"/>
    <w:next w:val="ad"/>
    <w:uiPriority w:val="59"/>
    <w:rsid w:val="00C0307D"/>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A0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A045D5"/>
    <w:rPr>
      <w:rFonts w:ascii="Courier New" w:eastAsia="Times New Roman" w:hAnsi="Courier New" w:cs="Courier New"/>
      <w:sz w:val="20"/>
      <w:szCs w:val="20"/>
      <w:lang w:eastAsia="ru-RU"/>
    </w:rPr>
  </w:style>
  <w:style w:type="character" w:customStyle="1" w:styleId="mixed-citation">
    <w:name w:val="mixed-citation"/>
    <w:basedOn w:val="a0"/>
    <w:rsid w:val="00A045D5"/>
  </w:style>
  <w:style w:type="character" w:customStyle="1" w:styleId="ref-title">
    <w:name w:val="ref-title"/>
    <w:basedOn w:val="a0"/>
    <w:rsid w:val="00A045D5"/>
  </w:style>
  <w:style w:type="character" w:customStyle="1" w:styleId="ref-journal">
    <w:name w:val="ref-journal"/>
    <w:basedOn w:val="a0"/>
    <w:rsid w:val="00A045D5"/>
  </w:style>
  <w:style w:type="character" w:customStyle="1" w:styleId="ref-vol">
    <w:name w:val="ref-vol"/>
    <w:basedOn w:val="a0"/>
    <w:rsid w:val="00A045D5"/>
  </w:style>
  <w:style w:type="character" w:customStyle="1" w:styleId="ref-iss">
    <w:name w:val="ref-iss"/>
    <w:basedOn w:val="a0"/>
    <w:rsid w:val="00A045D5"/>
  </w:style>
  <w:style w:type="character" w:customStyle="1" w:styleId="nowrap">
    <w:name w:val="nowrap"/>
    <w:basedOn w:val="a0"/>
    <w:rsid w:val="00A045D5"/>
  </w:style>
  <w:style w:type="character" w:styleId="afc">
    <w:name w:val="Placeholder Text"/>
    <w:uiPriority w:val="99"/>
    <w:semiHidden/>
    <w:rsid w:val="00804C38"/>
    <w:rPr>
      <w:color w:val="808080"/>
    </w:rPr>
  </w:style>
  <w:style w:type="paragraph" w:customStyle="1" w:styleId="afd">
    <w:name w:val="Памятки"/>
    <w:basedOn w:val="a"/>
    <w:link w:val="afe"/>
    <w:uiPriority w:val="99"/>
    <w:rsid w:val="000B4176"/>
    <w:pPr>
      <w:spacing w:before="0" w:after="0"/>
      <w:ind w:firstLine="709"/>
    </w:pPr>
    <w:rPr>
      <w:rFonts w:eastAsia="Times New Roman"/>
      <w:i/>
      <w:color w:val="FF0000"/>
      <w:sz w:val="18"/>
      <w:szCs w:val="24"/>
    </w:rPr>
  </w:style>
  <w:style w:type="character" w:customStyle="1" w:styleId="afe">
    <w:name w:val="Памятки Знак"/>
    <w:link w:val="afd"/>
    <w:uiPriority w:val="99"/>
    <w:locked/>
    <w:rsid w:val="000B4176"/>
    <w:rPr>
      <w:rFonts w:ascii="Times New Roman" w:eastAsia="Times New Roman" w:hAnsi="Times New Roman" w:cs="Times New Roman"/>
      <w:i/>
      <w:color w:val="FF0000"/>
      <w:sz w:val="18"/>
      <w:szCs w:val="24"/>
    </w:rPr>
  </w:style>
  <w:style w:type="paragraph" w:customStyle="1" w:styleId="Default">
    <w:name w:val="Default"/>
    <w:rsid w:val="00E92FAD"/>
    <w:pPr>
      <w:autoSpaceDE w:val="0"/>
      <w:autoSpaceDN w:val="0"/>
      <w:adjustRightInd w:val="0"/>
    </w:pPr>
    <w:rPr>
      <w:rFonts w:ascii="Times New Roman" w:hAnsi="Times New Roman"/>
      <w:color w:val="000000"/>
      <w:sz w:val="24"/>
      <w:szCs w:val="24"/>
      <w:lang w:eastAsia="en-US"/>
    </w:rPr>
  </w:style>
  <w:style w:type="character" w:customStyle="1" w:styleId="aff">
    <w:name w:val="Обычный (веб) Знак"/>
    <w:rsid w:val="00305AC6"/>
    <w:rPr>
      <w:rFonts w:ascii="Times New Roman" w:eastAsia="Times New Roman" w:hAnsi="Times New Roman"/>
      <w:sz w:val="24"/>
      <w:szCs w:val="24"/>
    </w:rPr>
  </w:style>
  <w:style w:type="paragraph" w:styleId="aff0">
    <w:name w:val="Revision"/>
    <w:hidden/>
    <w:uiPriority w:val="99"/>
    <w:semiHidden/>
    <w:rsid w:val="00305AC6"/>
    <w:rPr>
      <w:rFonts w:ascii="Times New Roman" w:hAnsi="Times New Roman"/>
      <w:sz w:val="24"/>
      <w:szCs w:val="22"/>
      <w:lang w:eastAsia="en-US"/>
    </w:rPr>
  </w:style>
  <w:style w:type="paragraph" w:customStyle="1" w:styleId="aff1">
    <w:basedOn w:val="a"/>
    <w:next w:val="a3"/>
    <w:uiPriority w:val="99"/>
    <w:unhideWhenUsed/>
    <w:qFormat/>
    <w:rsid w:val="008654BE"/>
    <w:pPr>
      <w:spacing w:beforeAutospacing="1" w:afterAutospacing="1" w:line="288" w:lineRule="auto"/>
      <w:jc w:val="left"/>
    </w:pPr>
    <w:rPr>
      <w:rFonts w:eastAsia="Times New Roman"/>
      <w:szCs w:val="24"/>
      <w:lang w:eastAsia="ru-RU"/>
    </w:rPr>
  </w:style>
  <w:style w:type="character" w:customStyle="1" w:styleId="15">
    <w:name w:val="Абзац списка Знак1"/>
    <w:basedOn w:val="a0"/>
    <w:uiPriority w:val="34"/>
    <w:rsid w:val="0047662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242820">
      <w:bodyDiv w:val="1"/>
      <w:marLeft w:val="0"/>
      <w:marRight w:val="0"/>
      <w:marTop w:val="0"/>
      <w:marBottom w:val="0"/>
      <w:divBdr>
        <w:top w:val="none" w:sz="0" w:space="0" w:color="auto"/>
        <w:left w:val="none" w:sz="0" w:space="0" w:color="auto"/>
        <w:bottom w:val="none" w:sz="0" w:space="0" w:color="auto"/>
        <w:right w:val="none" w:sz="0" w:space="0" w:color="auto"/>
      </w:divBdr>
      <w:divsChild>
        <w:div w:id="843472833">
          <w:marLeft w:val="0"/>
          <w:marRight w:val="0"/>
          <w:marTop w:val="166"/>
          <w:marBottom w:val="166"/>
          <w:divBdr>
            <w:top w:val="none" w:sz="0" w:space="0" w:color="auto"/>
            <w:left w:val="none" w:sz="0" w:space="0" w:color="auto"/>
            <w:bottom w:val="none" w:sz="0" w:space="0" w:color="auto"/>
            <w:right w:val="none" w:sz="0" w:space="0" w:color="auto"/>
          </w:divBdr>
        </w:div>
        <w:div w:id="1387072270">
          <w:marLeft w:val="0"/>
          <w:marRight w:val="0"/>
          <w:marTop w:val="166"/>
          <w:marBottom w:val="166"/>
          <w:divBdr>
            <w:top w:val="none" w:sz="0" w:space="0" w:color="auto"/>
            <w:left w:val="none" w:sz="0" w:space="0" w:color="auto"/>
            <w:bottom w:val="none" w:sz="0" w:space="0" w:color="auto"/>
            <w:right w:val="none" w:sz="0" w:space="0" w:color="auto"/>
          </w:divBdr>
        </w:div>
        <w:div w:id="2051420866">
          <w:marLeft w:val="0"/>
          <w:marRight w:val="0"/>
          <w:marTop w:val="166"/>
          <w:marBottom w:val="166"/>
          <w:divBdr>
            <w:top w:val="none" w:sz="0" w:space="0" w:color="auto"/>
            <w:left w:val="none" w:sz="0" w:space="0" w:color="auto"/>
            <w:bottom w:val="none" w:sz="0" w:space="0" w:color="auto"/>
            <w:right w:val="none" w:sz="0" w:space="0" w:color="auto"/>
          </w:divBdr>
        </w:div>
      </w:divsChild>
    </w:div>
    <w:div w:id="897282567">
      <w:bodyDiv w:val="1"/>
      <w:marLeft w:val="0"/>
      <w:marRight w:val="0"/>
      <w:marTop w:val="0"/>
      <w:marBottom w:val="0"/>
      <w:divBdr>
        <w:top w:val="none" w:sz="0" w:space="0" w:color="auto"/>
        <w:left w:val="none" w:sz="0" w:space="0" w:color="auto"/>
        <w:bottom w:val="none" w:sz="0" w:space="0" w:color="auto"/>
        <w:right w:val="none" w:sz="0" w:space="0" w:color="auto"/>
      </w:divBdr>
    </w:div>
    <w:div w:id="934747476">
      <w:bodyDiv w:val="1"/>
      <w:marLeft w:val="0"/>
      <w:marRight w:val="0"/>
      <w:marTop w:val="0"/>
      <w:marBottom w:val="0"/>
      <w:divBdr>
        <w:top w:val="none" w:sz="0" w:space="0" w:color="auto"/>
        <w:left w:val="none" w:sz="0" w:space="0" w:color="auto"/>
        <w:bottom w:val="none" w:sz="0" w:space="0" w:color="auto"/>
        <w:right w:val="none" w:sz="0" w:space="0" w:color="auto"/>
      </w:divBdr>
    </w:div>
    <w:div w:id="1218856603">
      <w:bodyDiv w:val="1"/>
      <w:marLeft w:val="0"/>
      <w:marRight w:val="0"/>
      <w:marTop w:val="0"/>
      <w:marBottom w:val="0"/>
      <w:divBdr>
        <w:top w:val="none" w:sz="0" w:space="0" w:color="auto"/>
        <w:left w:val="none" w:sz="0" w:space="0" w:color="auto"/>
        <w:bottom w:val="none" w:sz="0" w:space="0" w:color="auto"/>
        <w:right w:val="none" w:sz="0" w:space="0" w:color="auto"/>
      </w:divBdr>
    </w:div>
    <w:div w:id="1284773624">
      <w:bodyDiv w:val="1"/>
      <w:marLeft w:val="0"/>
      <w:marRight w:val="0"/>
      <w:marTop w:val="0"/>
      <w:marBottom w:val="0"/>
      <w:divBdr>
        <w:top w:val="none" w:sz="0" w:space="0" w:color="auto"/>
        <w:left w:val="none" w:sz="0" w:space="0" w:color="auto"/>
        <w:bottom w:val="none" w:sz="0" w:space="0" w:color="auto"/>
        <w:right w:val="none" w:sz="0" w:space="0" w:color="auto"/>
      </w:divBdr>
    </w:div>
    <w:div w:id="1378623634">
      <w:bodyDiv w:val="1"/>
      <w:marLeft w:val="0"/>
      <w:marRight w:val="0"/>
      <w:marTop w:val="0"/>
      <w:marBottom w:val="0"/>
      <w:divBdr>
        <w:top w:val="none" w:sz="0" w:space="0" w:color="auto"/>
        <w:left w:val="none" w:sz="0" w:space="0" w:color="auto"/>
        <w:bottom w:val="none" w:sz="0" w:space="0" w:color="auto"/>
        <w:right w:val="none" w:sz="0" w:space="0" w:color="auto"/>
      </w:divBdr>
      <w:divsChild>
        <w:div w:id="1776631731">
          <w:marLeft w:val="0"/>
          <w:marRight w:val="0"/>
          <w:marTop w:val="0"/>
          <w:marBottom w:val="0"/>
          <w:divBdr>
            <w:top w:val="none" w:sz="0" w:space="0" w:color="auto"/>
            <w:left w:val="none" w:sz="0" w:space="0" w:color="auto"/>
            <w:bottom w:val="none" w:sz="0" w:space="0" w:color="auto"/>
            <w:right w:val="none" w:sz="0" w:space="0" w:color="auto"/>
          </w:divBdr>
          <w:divsChild>
            <w:div w:id="1088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40847">
      <w:bodyDiv w:val="1"/>
      <w:marLeft w:val="0"/>
      <w:marRight w:val="0"/>
      <w:marTop w:val="0"/>
      <w:marBottom w:val="0"/>
      <w:divBdr>
        <w:top w:val="none" w:sz="0" w:space="0" w:color="auto"/>
        <w:left w:val="none" w:sz="0" w:space="0" w:color="auto"/>
        <w:bottom w:val="none" w:sz="0" w:space="0" w:color="auto"/>
        <w:right w:val="none" w:sz="0" w:space="0" w:color="auto"/>
      </w:divBdr>
    </w:div>
    <w:div w:id="1486823937">
      <w:bodyDiv w:val="1"/>
      <w:marLeft w:val="0"/>
      <w:marRight w:val="0"/>
      <w:marTop w:val="0"/>
      <w:marBottom w:val="0"/>
      <w:divBdr>
        <w:top w:val="none" w:sz="0" w:space="0" w:color="auto"/>
        <w:left w:val="none" w:sz="0" w:space="0" w:color="auto"/>
        <w:bottom w:val="none" w:sz="0" w:space="0" w:color="auto"/>
        <w:right w:val="none" w:sz="0" w:space="0" w:color="auto"/>
      </w:divBdr>
    </w:div>
    <w:div w:id="1593322237">
      <w:bodyDiv w:val="1"/>
      <w:marLeft w:val="0"/>
      <w:marRight w:val="0"/>
      <w:marTop w:val="0"/>
      <w:marBottom w:val="0"/>
      <w:divBdr>
        <w:top w:val="none" w:sz="0" w:space="0" w:color="auto"/>
        <w:left w:val="none" w:sz="0" w:space="0" w:color="auto"/>
        <w:bottom w:val="none" w:sz="0" w:space="0" w:color="auto"/>
        <w:right w:val="none" w:sz="0" w:space="0" w:color="auto"/>
      </w:divBdr>
    </w:div>
    <w:div w:id="1604726047">
      <w:bodyDiv w:val="1"/>
      <w:marLeft w:val="0"/>
      <w:marRight w:val="0"/>
      <w:marTop w:val="0"/>
      <w:marBottom w:val="0"/>
      <w:divBdr>
        <w:top w:val="none" w:sz="0" w:space="0" w:color="auto"/>
        <w:left w:val="none" w:sz="0" w:space="0" w:color="auto"/>
        <w:bottom w:val="none" w:sz="0" w:space="0" w:color="auto"/>
        <w:right w:val="none" w:sz="0" w:space="0" w:color="auto"/>
      </w:divBdr>
      <w:divsChild>
        <w:div w:id="792940773">
          <w:marLeft w:val="0"/>
          <w:marRight w:val="0"/>
          <w:marTop w:val="300"/>
          <w:marBottom w:val="0"/>
          <w:divBdr>
            <w:top w:val="none" w:sz="0" w:space="0" w:color="auto"/>
            <w:left w:val="none" w:sz="0" w:space="0" w:color="auto"/>
            <w:bottom w:val="none" w:sz="0" w:space="0" w:color="auto"/>
            <w:right w:val="none" w:sz="0" w:space="0" w:color="auto"/>
          </w:divBdr>
        </w:div>
        <w:div w:id="1934195880">
          <w:marLeft w:val="471"/>
          <w:marRight w:val="0"/>
          <w:marTop w:val="300"/>
          <w:marBottom w:val="0"/>
          <w:divBdr>
            <w:top w:val="none" w:sz="0" w:space="0" w:color="auto"/>
            <w:left w:val="none" w:sz="0" w:space="0" w:color="auto"/>
            <w:bottom w:val="none" w:sz="0" w:space="0" w:color="auto"/>
            <w:right w:val="none" w:sz="0" w:space="0" w:color="auto"/>
          </w:divBdr>
        </w:div>
      </w:divsChild>
    </w:div>
    <w:div w:id="1640645208">
      <w:bodyDiv w:val="1"/>
      <w:marLeft w:val="0"/>
      <w:marRight w:val="0"/>
      <w:marTop w:val="0"/>
      <w:marBottom w:val="0"/>
      <w:divBdr>
        <w:top w:val="none" w:sz="0" w:space="0" w:color="auto"/>
        <w:left w:val="none" w:sz="0" w:space="0" w:color="auto"/>
        <w:bottom w:val="none" w:sz="0" w:space="0" w:color="auto"/>
        <w:right w:val="none" w:sz="0" w:space="0" w:color="auto"/>
      </w:divBdr>
    </w:div>
    <w:div w:id="1807815232">
      <w:bodyDiv w:val="1"/>
      <w:marLeft w:val="0"/>
      <w:marRight w:val="0"/>
      <w:marTop w:val="0"/>
      <w:marBottom w:val="0"/>
      <w:divBdr>
        <w:top w:val="none" w:sz="0" w:space="0" w:color="auto"/>
        <w:left w:val="none" w:sz="0" w:space="0" w:color="auto"/>
        <w:bottom w:val="none" w:sz="0" w:space="0" w:color="auto"/>
        <w:right w:val="none" w:sz="0" w:space="0" w:color="auto"/>
      </w:divBdr>
    </w:div>
    <w:div w:id="1911307303">
      <w:bodyDiv w:val="1"/>
      <w:marLeft w:val="0"/>
      <w:marRight w:val="0"/>
      <w:marTop w:val="0"/>
      <w:marBottom w:val="0"/>
      <w:divBdr>
        <w:top w:val="none" w:sz="0" w:space="0" w:color="auto"/>
        <w:left w:val="none" w:sz="0" w:space="0" w:color="auto"/>
        <w:bottom w:val="none" w:sz="0" w:space="0" w:color="auto"/>
        <w:right w:val="none" w:sz="0" w:space="0" w:color="auto"/>
      </w:divBdr>
    </w:div>
    <w:div w:id="196831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4710D-A67F-4BB2-9450-F2F5EEBA7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96139</Words>
  <Characters>547993</Characters>
  <Application>Microsoft Office Word</Application>
  <DocSecurity>0</DocSecurity>
  <Lines>4566</Lines>
  <Paragraphs>1285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642847</CharactersWithSpaces>
  <SharedDoc>false</SharedDoc>
  <HLinks>
    <vt:vector size="390" baseType="variant">
      <vt:variant>
        <vt:i4>6684697</vt:i4>
      </vt:variant>
      <vt:variant>
        <vt:i4>584</vt:i4>
      </vt:variant>
      <vt:variant>
        <vt:i4>0</vt:i4>
      </vt:variant>
      <vt:variant>
        <vt:i4>5</vt:i4>
      </vt:variant>
      <vt:variant>
        <vt:lpwstr>https://www.ncbi.nlm.nih.gov/pubmed/?term=Tormey%20DC%5BAuthor%5D&amp;cauthor=true&amp;cauthor_uid=7165009</vt:lpwstr>
      </vt:variant>
      <vt:variant>
        <vt:lpwstr/>
      </vt:variant>
      <vt:variant>
        <vt:i4>7602196</vt:i4>
      </vt:variant>
      <vt:variant>
        <vt:i4>581</vt:i4>
      </vt:variant>
      <vt:variant>
        <vt:i4>0</vt:i4>
      </vt:variant>
      <vt:variant>
        <vt:i4>5</vt:i4>
      </vt:variant>
      <vt:variant>
        <vt:lpwstr>https://www.ncbi.nlm.nih.gov/pubmed/?term=Creech%20RH%5BAuthor%5D&amp;cauthor=true&amp;cauthor_uid=7165009</vt:lpwstr>
      </vt:variant>
      <vt:variant>
        <vt:lpwstr/>
      </vt:variant>
      <vt:variant>
        <vt:i4>8323149</vt:i4>
      </vt:variant>
      <vt:variant>
        <vt:i4>578</vt:i4>
      </vt:variant>
      <vt:variant>
        <vt:i4>0</vt:i4>
      </vt:variant>
      <vt:variant>
        <vt:i4>5</vt:i4>
      </vt:variant>
      <vt:variant>
        <vt:lpwstr>https://www.ncbi.nlm.nih.gov/pubmed/?term=Gregory%20WM%5BAuthor%5D&amp;cauthor=true&amp;cauthor_uid=27935580</vt:lpwstr>
      </vt:variant>
      <vt:variant>
        <vt:lpwstr/>
      </vt:variant>
      <vt:variant>
        <vt:i4>7536665</vt:i4>
      </vt:variant>
      <vt:variant>
        <vt:i4>575</vt:i4>
      </vt:variant>
      <vt:variant>
        <vt:i4>0</vt:i4>
      </vt:variant>
      <vt:variant>
        <vt:i4>5</vt:i4>
      </vt:variant>
      <vt:variant>
        <vt:lpwstr>https://www.ncbi.nlm.nih.gov/pubmed/?term=Cairns%20DA%5BAuthor%5D&amp;cauthor=true&amp;cauthor_uid=27935580</vt:lpwstr>
      </vt:variant>
      <vt:variant>
        <vt:lpwstr/>
      </vt:variant>
      <vt:variant>
        <vt:i4>983137</vt:i4>
      </vt:variant>
      <vt:variant>
        <vt:i4>572</vt:i4>
      </vt:variant>
      <vt:variant>
        <vt:i4>0</vt:i4>
      </vt:variant>
      <vt:variant>
        <vt:i4>5</vt:i4>
      </vt:variant>
      <vt:variant>
        <vt:lpwstr>https://www.ncbi.nlm.nih.gov/pubmed/?term=Anderson%20KC%5BAuthor%5D&amp;cauthor=true&amp;cauthor_uid=27511158</vt:lpwstr>
      </vt:variant>
      <vt:variant>
        <vt:lpwstr/>
      </vt:variant>
      <vt:variant>
        <vt:i4>4325415</vt:i4>
      </vt:variant>
      <vt:variant>
        <vt:i4>569</vt:i4>
      </vt:variant>
      <vt:variant>
        <vt:i4>0</vt:i4>
      </vt:variant>
      <vt:variant>
        <vt:i4>5</vt:i4>
      </vt:variant>
      <vt:variant>
        <vt:lpwstr>https://www.ncbi.nlm.nih.gov/pubmed/?term=Paiva%20B%5BAuthor%5D&amp;cauthor=true&amp;cauthor_uid=27511158</vt:lpwstr>
      </vt:variant>
      <vt:variant>
        <vt:lpwstr/>
      </vt:variant>
      <vt:variant>
        <vt:i4>5177380</vt:i4>
      </vt:variant>
      <vt:variant>
        <vt:i4>566</vt:i4>
      </vt:variant>
      <vt:variant>
        <vt:i4>0</vt:i4>
      </vt:variant>
      <vt:variant>
        <vt:i4>5</vt:i4>
      </vt:variant>
      <vt:variant>
        <vt:lpwstr>https://www.ncbi.nlm.nih.gov/pubmed/?term=Durie%20B%5BAuthor%5D&amp;cauthor=true&amp;cauthor_uid=21292775</vt:lpwstr>
      </vt:variant>
      <vt:variant>
        <vt:lpwstr/>
      </vt:variant>
      <vt:variant>
        <vt:i4>7536643</vt:i4>
      </vt:variant>
      <vt:variant>
        <vt:i4>563</vt:i4>
      </vt:variant>
      <vt:variant>
        <vt:i4>0</vt:i4>
      </vt:variant>
      <vt:variant>
        <vt:i4>5</vt:i4>
      </vt:variant>
      <vt:variant>
        <vt:lpwstr>https://www.ncbi.nlm.nih.gov/pubmed/?term=Harousseau%20JL%5BAuthor%5D&amp;cauthor=true&amp;cauthor_uid=21292775</vt:lpwstr>
      </vt:variant>
      <vt:variant>
        <vt:lpwstr/>
      </vt:variant>
      <vt:variant>
        <vt:i4>6553604</vt:i4>
      </vt:variant>
      <vt:variant>
        <vt:i4>560</vt:i4>
      </vt:variant>
      <vt:variant>
        <vt:i4>0</vt:i4>
      </vt:variant>
      <vt:variant>
        <vt:i4>5</vt:i4>
      </vt:variant>
      <vt:variant>
        <vt:lpwstr>https://www.ncbi.nlm.nih.gov/pubmed/?term=Miguel%20JS%5BAuthor%5D&amp;cauthor=true&amp;cauthor_uid=16855634</vt:lpwstr>
      </vt:variant>
      <vt:variant>
        <vt:lpwstr/>
      </vt:variant>
      <vt:variant>
        <vt:i4>7929865</vt:i4>
      </vt:variant>
      <vt:variant>
        <vt:i4>557</vt:i4>
      </vt:variant>
      <vt:variant>
        <vt:i4>0</vt:i4>
      </vt:variant>
      <vt:variant>
        <vt:i4>5</vt:i4>
      </vt:variant>
      <vt:variant>
        <vt:lpwstr>https://www.ncbi.nlm.nih.gov/pubmed/?term=Harousseau%20JL%5BAuthor%5D&amp;cauthor=true&amp;cauthor_uid=16855634</vt:lpwstr>
      </vt:variant>
      <vt:variant>
        <vt:lpwstr/>
      </vt:variant>
      <vt:variant>
        <vt:i4>3866637</vt:i4>
      </vt:variant>
      <vt:variant>
        <vt:i4>554</vt:i4>
      </vt:variant>
      <vt:variant>
        <vt:i4>0</vt:i4>
      </vt:variant>
      <vt:variant>
        <vt:i4>5</vt:i4>
      </vt:variant>
      <vt:variant>
        <vt:lpwstr>https://www.ncbi.nlm.nih.gov/pubmed/?term=Paul%20M%5BAuthor%5D&amp;cauthor=true&amp;cauthor_uid=19330654</vt:lpwstr>
      </vt:variant>
      <vt:variant>
        <vt:lpwstr/>
      </vt:variant>
      <vt:variant>
        <vt:i4>3801179</vt:i4>
      </vt:variant>
      <vt:variant>
        <vt:i4>551</vt:i4>
      </vt:variant>
      <vt:variant>
        <vt:i4>0</vt:i4>
      </vt:variant>
      <vt:variant>
        <vt:i4>5</vt:i4>
      </vt:variant>
      <vt:variant>
        <vt:lpwstr>https://www.ncbi.nlm.nih.gov/pubmed/?term=Gafter-Gvili%20A%5BAuthor%5D&amp;cauthor=true&amp;cauthor_uid=19330654</vt:lpwstr>
      </vt:variant>
      <vt:variant>
        <vt:lpwstr/>
      </vt:variant>
      <vt:variant>
        <vt:i4>5505067</vt:i4>
      </vt:variant>
      <vt:variant>
        <vt:i4>548</vt:i4>
      </vt:variant>
      <vt:variant>
        <vt:i4>0</vt:i4>
      </vt:variant>
      <vt:variant>
        <vt:i4>5</vt:i4>
      </vt:variant>
      <vt:variant>
        <vt:lpwstr>https://www.ncbi.nlm.nih.gov/pubmed/?term=Ghaly%20M%5BAuthor%5D&amp;cauthor=true&amp;cauthor_uid=31334121</vt:lpwstr>
      </vt:variant>
      <vt:variant>
        <vt:lpwstr/>
      </vt:variant>
      <vt:variant>
        <vt:i4>6094901</vt:i4>
      </vt:variant>
      <vt:variant>
        <vt:i4>545</vt:i4>
      </vt:variant>
      <vt:variant>
        <vt:i4>0</vt:i4>
      </vt:variant>
      <vt:variant>
        <vt:i4>5</vt:i4>
      </vt:variant>
      <vt:variant>
        <vt:lpwstr>https://www.ncbi.nlm.nih.gov/pubmed/?term=Meshrekey%20R%5BAuthor%5D&amp;cauthor=true&amp;cauthor_uid=31334121</vt:lpwstr>
      </vt:variant>
      <vt:variant>
        <vt:lpwstr/>
      </vt:variant>
      <vt:variant>
        <vt:i4>5963821</vt:i4>
      </vt:variant>
      <vt:variant>
        <vt:i4>542</vt:i4>
      </vt:variant>
      <vt:variant>
        <vt:i4>0</vt:i4>
      </vt:variant>
      <vt:variant>
        <vt:i4>5</vt:i4>
      </vt:variant>
      <vt:variant>
        <vt:lpwstr>https://www.ncbi.nlm.nih.gov/pubmed/?term=Gilbo%20P%5BAuthor%5D&amp;cauthor=true&amp;cauthor_uid=31334121</vt:lpwstr>
      </vt:variant>
      <vt:variant>
        <vt:lpwstr/>
      </vt:variant>
      <vt:variant>
        <vt:i4>1114215</vt:i4>
      </vt:variant>
      <vt:variant>
        <vt:i4>539</vt:i4>
      </vt:variant>
      <vt:variant>
        <vt:i4>0</vt:i4>
      </vt:variant>
      <vt:variant>
        <vt:i4>5</vt:i4>
      </vt:variant>
      <vt:variant>
        <vt:lpwstr>https://www.ncbi.nlm.nih.gov/pubmed/?term=Goda%20JS%5BAuthor%5D&amp;cauthor=true&amp;cauthor_uid=29976492</vt:lpwstr>
      </vt:variant>
      <vt:variant>
        <vt:lpwstr/>
      </vt:variant>
      <vt:variant>
        <vt:i4>983158</vt:i4>
      </vt:variant>
      <vt:variant>
        <vt:i4>536</vt:i4>
      </vt:variant>
      <vt:variant>
        <vt:i4>0</vt:i4>
      </vt:variant>
      <vt:variant>
        <vt:i4>5</vt:i4>
      </vt:variant>
      <vt:variant>
        <vt:lpwstr>https://www.ncbi.nlm.nih.gov/pubmed/?term=Campbell%20BA%5BAuthor%5D&amp;cauthor=true&amp;cauthor_uid=29976492</vt:lpwstr>
      </vt:variant>
      <vt:variant>
        <vt:lpwstr/>
      </vt:variant>
      <vt:variant>
        <vt:i4>2752543</vt:i4>
      </vt:variant>
      <vt:variant>
        <vt:i4>533</vt:i4>
      </vt:variant>
      <vt:variant>
        <vt:i4>0</vt:i4>
      </vt:variant>
      <vt:variant>
        <vt:i4>5</vt:i4>
      </vt:variant>
      <vt:variant>
        <vt:lpwstr>https://www.ncbi.nlm.nih.gov/pubmed/?term=Wang%20Y%5BAuthor%5D&amp;cauthor=true&amp;cauthor_uid=29805768</vt:lpwstr>
      </vt:variant>
      <vt:variant>
        <vt:lpwstr/>
      </vt:variant>
      <vt:variant>
        <vt:i4>3211344</vt:i4>
      </vt:variant>
      <vt:variant>
        <vt:i4>530</vt:i4>
      </vt:variant>
      <vt:variant>
        <vt:i4>0</vt:i4>
      </vt:variant>
      <vt:variant>
        <vt:i4>5</vt:i4>
      </vt:variant>
      <vt:variant>
        <vt:lpwstr>https://www.ncbi.nlm.nih.gov/pubmed/?term=Bishnoi%20R%5BAuthor%5D&amp;cauthor=true&amp;cauthor_uid=29805768</vt:lpwstr>
      </vt:variant>
      <vt:variant>
        <vt:lpwstr/>
      </vt:variant>
      <vt:variant>
        <vt:i4>7798805</vt:i4>
      </vt:variant>
      <vt:variant>
        <vt:i4>527</vt:i4>
      </vt:variant>
      <vt:variant>
        <vt:i4>0</vt:i4>
      </vt:variant>
      <vt:variant>
        <vt:i4>5</vt:i4>
      </vt:variant>
      <vt:variant>
        <vt:lpwstr>https://www.ncbi.nlm.nih.gov/pubmed/?term=Usmani%20SZ%5BAuthor%5D&amp;cauthor=true&amp;cauthor_uid=26778538</vt:lpwstr>
      </vt:variant>
      <vt:variant>
        <vt:lpwstr/>
      </vt:variant>
      <vt:variant>
        <vt:i4>196649</vt:i4>
      </vt:variant>
      <vt:variant>
        <vt:i4>524</vt:i4>
      </vt:variant>
      <vt:variant>
        <vt:i4>0</vt:i4>
      </vt:variant>
      <vt:variant>
        <vt:i4>5</vt:i4>
      </vt:variant>
      <vt:variant>
        <vt:lpwstr>https://www.ncbi.nlm.nih.gov/pubmed/?term=Weiss%20BM%5BAuthor%5D&amp;cauthor=true&amp;cauthor_uid=26778538</vt:lpwstr>
      </vt:variant>
      <vt:variant>
        <vt:lpwstr/>
      </vt:variant>
      <vt:variant>
        <vt:i4>5701744</vt:i4>
      </vt:variant>
      <vt:variant>
        <vt:i4>521</vt:i4>
      </vt:variant>
      <vt:variant>
        <vt:i4>0</vt:i4>
      </vt:variant>
      <vt:variant>
        <vt:i4>5</vt:i4>
      </vt:variant>
      <vt:variant>
        <vt:lpwstr>https://www.ncbi.nlm.nih.gov/pubmed/?term=Moreau%20P%5BAuthor%5D&amp;cauthor=true&amp;cauthor_uid=24007748</vt:lpwstr>
      </vt:variant>
      <vt:variant>
        <vt:lpwstr/>
      </vt:variant>
      <vt:variant>
        <vt:i4>4784245</vt:i4>
      </vt:variant>
      <vt:variant>
        <vt:i4>518</vt:i4>
      </vt:variant>
      <vt:variant>
        <vt:i4>0</vt:i4>
      </vt:variant>
      <vt:variant>
        <vt:i4>5</vt:i4>
      </vt:variant>
      <vt:variant>
        <vt:lpwstr>https://www.ncbi.nlm.nih.gov/pubmed/?term=Weisel%20K%5BAuthor%5D&amp;cauthor=true&amp;cauthor_uid=24007748</vt:lpwstr>
      </vt:variant>
      <vt:variant>
        <vt:lpwstr/>
      </vt:variant>
      <vt:variant>
        <vt:i4>1835067</vt:i4>
      </vt:variant>
      <vt:variant>
        <vt:i4>248</vt:i4>
      </vt:variant>
      <vt:variant>
        <vt:i4>0</vt:i4>
      </vt:variant>
      <vt:variant>
        <vt:i4>5</vt:i4>
      </vt:variant>
      <vt:variant>
        <vt:lpwstr/>
      </vt:variant>
      <vt:variant>
        <vt:lpwstr>_Toc24362188</vt:lpwstr>
      </vt:variant>
      <vt:variant>
        <vt:i4>1245243</vt:i4>
      </vt:variant>
      <vt:variant>
        <vt:i4>242</vt:i4>
      </vt:variant>
      <vt:variant>
        <vt:i4>0</vt:i4>
      </vt:variant>
      <vt:variant>
        <vt:i4>5</vt:i4>
      </vt:variant>
      <vt:variant>
        <vt:lpwstr/>
      </vt:variant>
      <vt:variant>
        <vt:lpwstr>_Toc24362187</vt:lpwstr>
      </vt:variant>
      <vt:variant>
        <vt:i4>1179707</vt:i4>
      </vt:variant>
      <vt:variant>
        <vt:i4>236</vt:i4>
      </vt:variant>
      <vt:variant>
        <vt:i4>0</vt:i4>
      </vt:variant>
      <vt:variant>
        <vt:i4>5</vt:i4>
      </vt:variant>
      <vt:variant>
        <vt:lpwstr/>
      </vt:variant>
      <vt:variant>
        <vt:lpwstr>_Toc24362186</vt:lpwstr>
      </vt:variant>
      <vt:variant>
        <vt:i4>1114171</vt:i4>
      </vt:variant>
      <vt:variant>
        <vt:i4>230</vt:i4>
      </vt:variant>
      <vt:variant>
        <vt:i4>0</vt:i4>
      </vt:variant>
      <vt:variant>
        <vt:i4>5</vt:i4>
      </vt:variant>
      <vt:variant>
        <vt:lpwstr/>
      </vt:variant>
      <vt:variant>
        <vt:lpwstr>_Toc24362185</vt:lpwstr>
      </vt:variant>
      <vt:variant>
        <vt:i4>1048635</vt:i4>
      </vt:variant>
      <vt:variant>
        <vt:i4>224</vt:i4>
      </vt:variant>
      <vt:variant>
        <vt:i4>0</vt:i4>
      </vt:variant>
      <vt:variant>
        <vt:i4>5</vt:i4>
      </vt:variant>
      <vt:variant>
        <vt:lpwstr/>
      </vt:variant>
      <vt:variant>
        <vt:lpwstr>_Toc24362184</vt:lpwstr>
      </vt:variant>
      <vt:variant>
        <vt:i4>1507387</vt:i4>
      </vt:variant>
      <vt:variant>
        <vt:i4>218</vt:i4>
      </vt:variant>
      <vt:variant>
        <vt:i4>0</vt:i4>
      </vt:variant>
      <vt:variant>
        <vt:i4>5</vt:i4>
      </vt:variant>
      <vt:variant>
        <vt:lpwstr/>
      </vt:variant>
      <vt:variant>
        <vt:lpwstr>_Toc24362183</vt:lpwstr>
      </vt:variant>
      <vt:variant>
        <vt:i4>1441851</vt:i4>
      </vt:variant>
      <vt:variant>
        <vt:i4>212</vt:i4>
      </vt:variant>
      <vt:variant>
        <vt:i4>0</vt:i4>
      </vt:variant>
      <vt:variant>
        <vt:i4>5</vt:i4>
      </vt:variant>
      <vt:variant>
        <vt:lpwstr/>
      </vt:variant>
      <vt:variant>
        <vt:lpwstr>_Toc24362182</vt:lpwstr>
      </vt:variant>
      <vt:variant>
        <vt:i4>1376315</vt:i4>
      </vt:variant>
      <vt:variant>
        <vt:i4>206</vt:i4>
      </vt:variant>
      <vt:variant>
        <vt:i4>0</vt:i4>
      </vt:variant>
      <vt:variant>
        <vt:i4>5</vt:i4>
      </vt:variant>
      <vt:variant>
        <vt:lpwstr/>
      </vt:variant>
      <vt:variant>
        <vt:lpwstr>_Toc24362181</vt:lpwstr>
      </vt:variant>
      <vt:variant>
        <vt:i4>1310779</vt:i4>
      </vt:variant>
      <vt:variant>
        <vt:i4>200</vt:i4>
      </vt:variant>
      <vt:variant>
        <vt:i4>0</vt:i4>
      </vt:variant>
      <vt:variant>
        <vt:i4>5</vt:i4>
      </vt:variant>
      <vt:variant>
        <vt:lpwstr/>
      </vt:variant>
      <vt:variant>
        <vt:lpwstr>_Toc24362180</vt:lpwstr>
      </vt:variant>
      <vt:variant>
        <vt:i4>1900596</vt:i4>
      </vt:variant>
      <vt:variant>
        <vt:i4>194</vt:i4>
      </vt:variant>
      <vt:variant>
        <vt:i4>0</vt:i4>
      </vt:variant>
      <vt:variant>
        <vt:i4>5</vt:i4>
      </vt:variant>
      <vt:variant>
        <vt:lpwstr/>
      </vt:variant>
      <vt:variant>
        <vt:lpwstr>_Toc24362179</vt:lpwstr>
      </vt:variant>
      <vt:variant>
        <vt:i4>1835060</vt:i4>
      </vt:variant>
      <vt:variant>
        <vt:i4>188</vt:i4>
      </vt:variant>
      <vt:variant>
        <vt:i4>0</vt:i4>
      </vt:variant>
      <vt:variant>
        <vt:i4>5</vt:i4>
      </vt:variant>
      <vt:variant>
        <vt:lpwstr/>
      </vt:variant>
      <vt:variant>
        <vt:lpwstr>_Toc24362178</vt:lpwstr>
      </vt:variant>
      <vt:variant>
        <vt:i4>1245236</vt:i4>
      </vt:variant>
      <vt:variant>
        <vt:i4>182</vt:i4>
      </vt:variant>
      <vt:variant>
        <vt:i4>0</vt:i4>
      </vt:variant>
      <vt:variant>
        <vt:i4>5</vt:i4>
      </vt:variant>
      <vt:variant>
        <vt:lpwstr/>
      </vt:variant>
      <vt:variant>
        <vt:lpwstr>_Toc24362177</vt:lpwstr>
      </vt:variant>
      <vt:variant>
        <vt:i4>1179700</vt:i4>
      </vt:variant>
      <vt:variant>
        <vt:i4>176</vt:i4>
      </vt:variant>
      <vt:variant>
        <vt:i4>0</vt:i4>
      </vt:variant>
      <vt:variant>
        <vt:i4>5</vt:i4>
      </vt:variant>
      <vt:variant>
        <vt:lpwstr/>
      </vt:variant>
      <vt:variant>
        <vt:lpwstr>_Toc24362176</vt:lpwstr>
      </vt:variant>
      <vt:variant>
        <vt:i4>1114164</vt:i4>
      </vt:variant>
      <vt:variant>
        <vt:i4>170</vt:i4>
      </vt:variant>
      <vt:variant>
        <vt:i4>0</vt:i4>
      </vt:variant>
      <vt:variant>
        <vt:i4>5</vt:i4>
      </vt:variant>
      <vt:variant>
        <vt:lpwstr/>
      </vt:variant>
      <vt:variant>
        <vt:lpwstr>_Toc24362175</vt:lpwstr>
      </vt:variant>
      <vt:variant>
        <vt:i4>1048628</vt:i4>
      </vt:variant>
      <vt:variant>
        <vt:i4>164</vt:i4>
      </vt:variant>
      <vt:variant>
        <vt:i4>0</vt:i4>
      </vt:variant>
      <vt:variant>
        <vt:i4>5</vt:i4>
      </vt:variant>
      <vt:variant>
        <vt:lpwstr/>
      </vt:variant>
      <vt:variant>
        <vt:lpwstr>_Toc24362174</vt:lpwstr>
      </vt:variant>
      <vt:variant>
        <vt:i4>1507380</vt:i4>
      </vt:variant>
      <vt:variant>
        <vt:i4>158</vt:i4>
      </vt:variant>
      <vt:variant>
        <vt:i4>0</vt:i4>
      </vt:variant>
      <vt:variant>
        <vt:i4>5</vt:i4>
      </vt:variant>
      <vt:variant>
        <vt:lpwstr/>
      </vt:variant>
      <vt:variant>
        <vt:lpwstr>_Toc24362173</vt:lpwstr>
      </vt:variant>
      <vt:variant>
        <vt:i4>1441844</vt:i4>
      </vt:variant>
      <vt:variant>
        <vt:i4>152</vt:i4>
      </vt:variant>
      <vt:variant>
        <vt:i4>0</vt:i4>
      </vt:variant>
      <vt:variant>
        <vt:i4>5</vt:i4>
      </vt:variant>
      <vt:variant>
        <vt:lpwstr/>
      </vt:variant>
      <vt:variant>
        <vt:lpwstr>_Toc24362172</vt:lpwstr>
      </vt:variant>
      <vt:variant>
        <vt:i4>1376308</vt:i4>
      </vt:variant>
      <vt:variant>
        <vt:i4>146</vt:i4>
      </vt:variant>
      <vt:variant>
        <vt:i4>0</vt:i4>
      </vt:variant>
      <vt:variant>
        <vt:i4>5</vt:i4>
      </vt:variant>
      <vt:variant>
        <vt:lpwstr/>
      </vt:variant>
      <vt:variant>
        <vt:lpwstr>_Toc24362171</vt:lpwstr>
      </vt:variant>
      <vt:variant>
        <vt:i4>1310772</vt:i4>
      </vt:variant>
      <vt:variant>
        <vt:i4>140</vt:i4>
      </vt:variant>
      <vt:variant>
        <vt:i4>0</vt:i4>
      </vt:variant>
      <vt:variant>
        <vt:i4>5</vt:i4>
      </vt:variant>
      <vt:variant>
        <vt:lpwstr/>
      </vt:variant>
      <vt:variant>
        <vt:lpwstr>_Toc24362170</vt:lpwstr>
      </vt:variant>
      <vt:variant>
        <vt:i4>1900597</vt:i4>
      </vt:variant>
      <vt:variant>
        <vt:i4>134</vt:i4>
      </vt:variant>
      <vt:variant>
        <vt:i4>0</vt:i4>
      </vt:variant>
      <vt:variant>
        <vt:i4>5</vt:i4>
      </vt:variant>
      <vt:variant>
        <vt:lpwstr/>
      </vt:variant>
      <vt:variant>
        <vt:lpwstr>_Toc24362169</vt:lpwstr>
      </vt:variant>
      <vt:variant>
        <vt:i4>1835061</vt:i4>
      </vt:variant>
      <vt:variant>
        <vt:i4>128</vt:i4>
      </vt:variant>
      <vt:variant>
        <vt:i4>0</vt:i4>
      </vt:variant>
      <vt:variant>
        <vt:i4>5</vt:i4>
      </vt:variant>
      <vt:variant>
        <vt:lpwstr/>
      </vt:variant>
      <vt:variant>
        <vt:lpwstr>_Toc24362168</vt:lpwstr>
      </vt:variant>
      <vt:variant>
        <vt:i4>1245237</vt:i4>
      </vt:variant>
      <vt:variant>
        <vt:i4>122</vt:i4>
      </vt:variant>
      <vt:variant>
        <vt:i4>0</vt:i4>
      </vt:variant>
      <vt:variant>
        <vt:i4>5</vt:i4>
      </vt:variant>
      <vt:variant>
        <vt:lpwstr/>
      </vt:variant>
      <vt:variant>
        <vt:lpwstr>_Toc24362167</vt:lpwstr>
      </vt:variant>
      <vt:variant>
        <vt:i4>1179701</vt:i4>
      </vt:variant>
      <vt:variant>
        <vt:i4>116</vt:i4>
      </vt:variant>
      <vt:variant>
        <vt:i4>0</vt:i4>
      </vt:variant>
      <vt:variant>
        <vt:i4>5</vt:i4>
      </vt:variant>
      <vt:variant>
        <vt:lpwstr/>
      </vt:variant>
      <vt:variant>
        <vt:lpwstr>_Toc24362166</vt:lpwstr>
      </vt:variant>
      <vt:variant>
        <vt:i4>1114165</vt:i4>
      </vt:variant>
      <vt:variant>
        <vt:i4>110</vt:i4>
      </vt:variant>
      <vt:variant>
        <vt:i4>0</vt:i4>
      </vt:variant>
      <vt:variant>
        <vt:i4>5</vt:i4>
      </vt:variant>
      <vt:variant>
        <vt:lpwstr/>
      </vt:variant>
      <vt:variant>
        <vt:lpwstr>_Toc24362165</vt:lpwstr>
      </vt:variant>
      <vt:variant>
        <vt:i4>1048629</vt:i4>
      </vt:variant>
      <vt:variant>
        <vt:i4>104</vt:i4>
      </vt:variant>
      <vt:variant>
        <vt:i4>0</vt:i4>
      </vt:variant>
      <vt:variant>
        <vt:i4>5</vt:i4>
      </vt:variant>
      <vt:variant>
        <vt:lpwstr/>
      </vt:variant>
      <vt:variant>
        <vt:lpwstr>_Toc24362164</vt:lpwstr>
      </vt:variant>
      <vt:variant>
        <vt:i4>1507381</vt:i4>
      </vt:variant>
      <vt:variant>
        <vt:i4>98</vt:i4>
      </vt:variant>
      <vt:variant>
        <vt:i4>0</vt:i4>
      </vt:variant>
      <vt:variant>
        <vt:i4>5</vt:i4>
      </vt:variant>
      <vt:variant>
        <vt:lpwstr/>
      </vt:variant>
      <vt:variant>
        <vt:lpwstr>_Toc24362163</vt:lpwstr>
      </vt:variant>
      <vt:variant>
        <vt:i4>1441845</vt:i4>
      </vt:variant>
      <vt:variant>
        <vt:i4>92</vt:i4>
      </vt:variant>
      <vt:variant>
        <vt:i4>0</vt:i4>
      </vt:variant>
      <vt:variant>
        <vt:i4>5</vt:i4>
      </vt:variant>
      <vt:variant>
        <vt:lpwstr/>
      </vt:variant>
      <vt:variant>
        <vt:lpwstr>_Toc24362162</vt:lpwstr>
      </vt:variant>
      <vt:variant>
        <vt:i4>1376309</vt:i4>
      </vt:variant>
      <vt:variant>
        <vt:i4>86</vt:i4>
      </vt:variant>
      <vt:variant>
        <vt:i4>0</vt:i4>
      </vt:variant>
      <vt:variant>
        <vt:i4>5</vt:i4>
      </vt:variant>
      <vt:variant>
        <vt:lpwstr/>
      </vt:variant>
      <vt:variant>
        <vt:lpwstr>_Toc24362161</vt:lpwstr>
      </vt:variant>
      <vt:variant>
        <vt:i4>1310773</vt:i4>
      </vt:variant>
      <vt:variant>
        <vt:i4>80</vt:i4>
      </vt:variant>
      <vt:variant>
        <vt:i4>0</vt:i4>
      </vt:variant>
      <vt:variant>
        <vt:i4>5</vt:i4>
      </vt:variant>
      <vt:variant>
        <vt:lpwstr/>
      </vt:variant>
      <vt:variant>
        <vt:lpwstr>_Toc24362160</vt:lpwstr>
      </vt:variant>
      <vt:variant>
        <vt:i4>1900598</vt:i4>
      </vt:variant>
      <vt:variant>
        <vt:i4>74</vt:i4>
      </vt:variant>
      <vt:variant>
        <vt:i4>0</vt:i4>
      </vt:variant>
      <vt:variant>
        <vt:i4>5</vt:i4>
      </vt:variant>
      <vt:variant>
        <vt:lpwstr/>
      </vt:variant>
      <vt:variant>
        <vt:lpwstr>_Toc24362159</vt:lpwstr>
      </vt:variant>
      <vt:variant>
        <vt:i4>1835062</vt:i4>
      </vt:variant>
      <vt:variant>
        <vt:i4>68</vt:i4>
      </vt:variant>
      <vt:variant>
        <vt:i4>0</vt:i4>
      </vt:variant>
      <vt:variant>
        <vt:i4>5</vt:i4>
      </vt:variant>
      <vt:variant>
        <vt:lpwstr/>
      </vt:variant>
      <vt:variant>
        <vt:lpwstr>_Toc24362158</vt:lpwstr>
      </vt:variant>
      <vt:variant>
        <vt:i4>1245238</vt:i4>
      </vt:variant>
      <vt:variant>
        <vt:i4>62</vt:i4>
      </vt:variant>
      <vt:variant>
        <vt:i4>0</vt:i4>
      </vt:variant>
      <vt:variant>
        <vt:i4>5</vt:i4>
      </vt:variant>
      <vt:variant>
        <vt:lpwstr/>
      </vt:variant>
      <vt:variant>
        <vt:lpwstr>_Toc24362157</vt:lpwstr>
      </vt:variant>
      <vt:variant>
        <vt:i4>1179702</vt:i4>
      </vt:variant>
      <vt:variant>
        <vt:i4>56</vt:i4>
      </vt:variant>
      <vt:variant>
        <vt:i4>0</vt:i4>
      </vt:variant>
      <vt:variant>
        <vt:i4>5</vt:i4>
      </vt:variant>
      <vt:variant>
        <vt:lpwstr/>
      </vt:variant>
      <vt:variant>
        <vt:lpwstr>_Toc24362156</vt:lpwstr>
      </vt:variant>
      <vt:variant>
        <vt:i4>1114166</vt:i4>
      </vt:variant>
      <vt:variant>
        <vt:i4>50</vt:i4>
      </vt:variant>
      <vt:variant>
        <vt:i4>0</vt:i4>
      </vt:variant>
      <vt:variant>
        <vt:i4>5</vt:i4>
      </vt:variant>
      <vt:variant>
        <vt:lpwstr/>
      </vt:variant>
      <vt:variant>
        <vt:lpwstr>_Toc24362155</vt:lpwstr>
      </vt:variant>
      <vt:variant>
        <vt:i4>1048630</vt:i4>
      </vt:variant>
      <vt:variant>
        <vt:i4>44</vt:i4>
      </vt:variant>
      <vt:variant>
        <vt:i4>0</vt:i4>
      </vt:variant>
      <vt:variant>
        <vt:i4>5</vt:i4>
      </vt:variant>
      <vt:variant>
        <vt:lpwstr/>
      </vt:variant>
      <vt:variant>
        <vt:lpwstr>_Toc24362154</vt:lpwstr>
      </vt:variant>
      <vt:variant>
        <vt:i4>1507382</vt:i4>
      </vt:variant>
      <vt:variant>
        <vt:i4>38</vt:i4>
      </vt:variant>
      <vt:variant>
        <vt:i4>0</vt:i4>
      </vt:variant>
      <vt:variant>
        <vt:i4>5</vt:i4>
      </vt:variant>
      <vt:variant>
        <vt:lpwstr/>
      </vt:variant>
      <vt:variant>
        <vt:lpwstr>_Toc24362153</vt:lpwstr>
      </vt:variant>
      <vt:variant>
        <vt:i4>1441846</vt:i4>
      </vt:variant>
      <vt:variant>
        <vt:i4>32</vt:i4>
      </vt:variant>
      <vt:variant>
        <vt:i4>0</vt:i4>
      </vt:variant>
      <vt:variant>
        <vt:i4>5</vt:i4>
      </vt:variant>
      <vt:variant>
        <vt:lpwstr/>
      </vt:variant>
      <vt:variant>
        <vt:lpwstr>_Toc24362152</vt:lpwstr>
      </vt:variant>
      <vt:variant>
        <vt:i4>1376310</vt:i4>
      </vt:variant>
      <vt:variant>
        <vt:i4>26</vt:i4>
      </vt:variant>
      <vt:variant>
        <vt:i4>0</vt:i4>
      </vt:variant>
      <vt:variant>
        <vt:i4>5</vt:i4>
      </vt:variant>
      <vt:variant>
        <vt:lpwstr/>
      </vt:variant>
      <vt:variant>
        <vt:lpwstr>_Toc24362151</vt:lpwstr>
      </vt:variant>
      <vt:variant>
        <vt:i4>1310774</vt:i4>
      </vt:variant>
      <vt:variant>
        <vt:i4>20</vt:i4>
      </vt:variant>
      <vt:variant>
        <vt:i4>0</vt:i4>
      </vt:variant>
      <vt:variant>
        <vt:i4>5</vt:i4>
      </vt:variant>
      <vt:variant>
        <vt:lpwstr/>
      </vt:variant>
      <vt:variant>
        <vt:lpwstr>_Toc24362150</vt:lpwstr>
      </vt:variant>
      <vt:variant>
        <vt:i4>1900599</vt:i4>
      </vt:variant>
      <vt:variant>
        <vt:i4>14</vt:i4>
      </vt:variant>
      <vt:variant>
        <vt:i4>0</vt:i4>
      </vt:variant>
      <vt:variant>
        <vt:i4>5</vt:i4>
      </vt:variant>
      <vt:variant>
        <vt:lpwstr/>
      </vt:variant>
      <vt:variant>
        <vt:lpwstr>_Toc24362149</vt:lpwstr>
      </vt:variant>
      <vt:variant>
        <vt:i4>1835063</vt:i4>
      </vt:variant>
      <vt:variant>
        <vt:i4>8</vt:i4>
      </vt:variant>
      <vt:variant>
        <vt:i4>0</vt:i4>
      </vt:variant>
      <vt:variant>
        <vt:i4>5</vt:i4>
      </vt:variant>
      <vt:variant>
        <vt:lpwstr/>
      </vt:variant>
      <vt:variant>
        <vt:lpwstr>_Toc24362148</vt:lpwstr>
      </vt:variant>
      <vt:variant>
        <vt:i4>1245239</vt:i4>
      </vt:variant>
      <vt:variant>
        <vt:i4>2</vt:i4>
      </vt:variant>
      <vt:variant>
        <vt:i4>0</vt:i4>
      </vt:variant>
      <vt:variant>
        <vt:i4>5</vt:i4>
      </vt:variant>
      <vt:variant>
        <vt:lpwstr/>
      </vt:variant>
      <vt:variant>
        <vt:lpwstr>_Toc24362147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alradi</cp:lastModifiedBy>
  <cp:revision>2</cp:revision>
  <cp:lastPrinted>2019-09-20T07:21:00Z</cp:lastPrinted>
  <dcterms:created xsi:type="dcterms:W3CDTF">2019-12-11T14:41:00Z</dcterms:created>
  <dcterms:modified xsi:type="dcterms:W3CDTF">2019-12-11T14:41:00Z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http://www.zotero.org/styles/gost-r-7-0-5-2008-numeric</vt:lpwstr>
  </property>
  <property fmtid="{D5CDD505-2E9C-101B-9397-08002B2CF9AE}" pid="21" name="Mendeley Recent Style Name 9_1">
    <vt:lpwstr>Russian GOST R 7.0.5-2008 (numeric)</vt:lpwstr>
  </property>
  <property fmtid="{D5CDD505-2E9C-101B-9397-08002B2CF9AE}" pid="22" name="Mendeley Document_1">
    <vt:lpwstr>True</vt:lpwstr>
  </property>
  <property fmtid="{D5CDD505-2E9C-101B-9397-08002B2CF9AE}" pid="23" name="Mendeley Unique User Id_1">
    <vt:lpwstr>557ca738-a0c4-3a69-aff2-aa601aaa397d</vt:lpwstr>
  </property>
  <property fmtid="{D5CDD505-2E9C-101B-9397-08002B2CF9AE}" pid="24" name="Mendeley Citation Style_1">
    <vt:lpwstr>http://www.zotero.org/styles/gost-r-7-0-5-2008-numeric</vt:lpwstr>
  </property>
</Properties>
</file>